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4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 протоколу № 99/72 совместного заседания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 Правительстве Ханты-Мансийского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по вопросам развития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в Ханты-Мансийском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автономном округе – Югре и Совета по развитию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взаимодействии товаропроизводителей </w:t>
        <w:br/>
        <w:t xml:space="preserve">Ханты-Мансийского автономного округа – Югры </w:t>
        <w:br/>
        <w:t xml:space="preserve">с федеральными торговыми сетями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Департаментом экономического развития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Ханты-Мансийского автономного округа – Югры (далее – автономный округ)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проведен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анал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из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взаимодействия товаропроизводителей автономного округа с федеральными торговыми сетями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val="en-US"/>
        </w:rPr>
      </w:r>
      <w:r>
        <w:rPr>
          <w:rFonts w:ascii="Times New Roman" w:hAnsi="Times New Roman" w:eastAsia="Calibri" w:cs="Times New Roman"/>
          <w:i w:val="0"/>
          <w:iCs w:val="0"/>
          <w:color w:val="000000"/>
          <w:sz w:val="28"/>
          <w:szCs w:val="28"/>
        </w:rPr>
        <w:t xml:space="preserve">На сегодняшний день в автономном округе развита система продвижения товаров и создания благоприятных условий сельскохозяйственным товаропроизводителям для реализации местной продукции.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На террит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ории автономного округа осуществляют деятельность 13 федеральных торговых сетей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Магнит, Монетка, Лента, Метро, Перекресток, Пятерочка, Красное и Белое, Бристоль, Доброцен, Светофор  и т.д.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), количество магазинов составляет 1372 во всех 22 муниципальных образованиях автономного округа.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сельскохозяйственных товаропроизводителей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Югры, продукция которых представлена в торговых сетях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 «Лента»,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«Пятерочка», «Перекресток»,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АО «Тандер» в 2024 году –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10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8 (справочно: 2022 год – 117; 2023 год – 108)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Динамика присутствия локальных поставщиков в 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орговых сетях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представлена в таблице</w:t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72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39"/>
        <w:gridCol w:w="2330"/>
        <w:gridCol w:w="1984"/>
        <w:gridCol w:w="2694"/>
      </w:tblGrid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локальных поставщиков в ТС «Лента»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локальных поставщиков в ТС «Магнит»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локальных поставщиков в ТС «Х5 групп» (Пятерочка, Перекресток)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9"/>
        </w:trPr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2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локальных поставщиков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2024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2,55 %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30 %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</w:tbl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торговую сеть «Магнит» в автономном округе 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местных поставщиков. Доля продукции локальных товаропроизводителей составляет порядка 20 %.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Наибольшая доля продукции поставщиков (производителей) автономного округа наблюдается по следующим товарным категориям: «Хлеб и хлебобулочные изделия» (82,2 %), «Картофель» (6,5 %), «Мясо» (5,7 %), «Овощи» (5,5 %), «Молоко питьевое 2,5%/3,2 %» (4,5 %).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По итогам 2024 года объем поставок продукции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местных производителей в магазины сети в регионе превысил сумму в 2,7 млрд рублей (+7 % к показателю 2023 года).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торговую сеть «Пятёрочка», «Перекрёсток»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Х5 групп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  <w:br/>
        <w:t xml:space="preserve">30 производителей автономного округа. Доля продукции локальных товаропроизводителей составляет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30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%. Наибольшая доля продукции наблюдается по следующим товарным категориям: «Мясная гастрономия» (43,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%), «Хлеб и хлебобулочные изделия» (3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%), «Птица»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%), «Свежие торты» (9,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%).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2024 году на территории региона общий товарооборот местных производителей в торговых сетях Компании «Х5 групп» составил более 2 млрд рублей, в том числе внутри региона 1,5 млрд рублей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2024 году осуществляли поставки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торговую сеть «Лента»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       21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товаропроизводител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автономного округа. Доля локальных товаропроизводителей в обороте торговых комплексов «Лента», расположенных на территории  автономного округа (г. Сургут, г. Ханты-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Мансийск, г. Нижневартовск) составляет 2,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55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%. Наибольшая доля продукции поставщиков (производителей) автономного округа наблюдается по следующим товарным категориям: «Птица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глубокой заморозки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» 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59,27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%), 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Продукты мясной переработки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» (30,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96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%), 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Хлеб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» (28,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%).  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Крупнейшими поставщиками, поставляющими свою продукцию в федеральные торговые сети, так за ее пределы являются: ООО «Обь-регион»; ИП Просвиряков Андрей Степанович; ИП Герута Александр Иванович, ООО «ТК. ЮГРАТОРГ»,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АО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Агроника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ИП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Глава КФХ Башмаков 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ладимир Алексеевич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Ваш хлеб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Золотая Нива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ООО «Нижневартовский молочный завод»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Сибторг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АО 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Сургутский хлебозавод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Золотая нива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Гурман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», 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ООО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Торговый дом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Санта-Мария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и т.д.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В автономном округе осуществляется сотрудничество с крупными федеральными торговыми сетями «Магнит», «Лента», «Х5 групп» в рамках заключенных соглашений, путем индивидуального сопровождения товаропроизводителей при взаимодействии с торговыми сетями.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На постоянной основе проводятся торгово-закупочные сессии с представителями федеральных торговых сетей для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товаропроизводителей автономного округа, в торговых залах размещаются полки с товарами местных производителей, а также проходят дегустации продукции товаропроизводителей, представленной в торговых сетях 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справочно: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 2024 году в рамках XII Межрегиональной агропромышленной выставки Уральского федерального округа (26-28 сентября 2024 года)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состоялась торгово-закупочная сессия с федеральными торговыми сетями («Лента», «Магнит», «X5 Group)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В автономном округе при поддержке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АО «Корпорации МСП»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реализуется проект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«Фермерский островок» формата «магазин в магазине», </w:t>
        <w:br/>
        <w:t xml:space="preserve">в настоящее время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осуществляют деятельность 2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«Фермерских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островка», </w:t>
        <w:br/>
        <w:t xml:space="preserve">где представлена исключительно продукция местных товаропроизводителей, в городе Сургуте в федеральной сети «Перекресток»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i w:val="0"/>
          <w:iCs w:val="0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Также муниципальными образованиями автономного округа для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продвижения продукции местных товаропроизводителей с торговыми сетями осуществляется информационная поддержка,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проводятся рабочие встречи, круглые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столы, торгово-закупочные сессии с представителями федеральных торговых сетей.</w:t>
      </w:r>
      <w:r>
        <w:rPr>
          <w:rFonts w:ascii="Times New Roman" w:hAnsi="Times New Roman" w:cs="Times New Roman"/>
          <w:i w:val="0"/>
          <w:iCs w:val="0"/>
          <w:highlight w:val="none"/>
        </w:rPr>
      </w:r>
      <w:r>
        <w:rPr>
          <w:rFonts w:ascii="Times New Roman" w:hAnsi="Times New Roman" w:cs="Times New Roman"/>
          <w:i w:val="0"/>
          <w:iCs w:val="0"/>
          <w:highlight w:val="none"/>
        </w:rPr>
      </w:r>
    </w:p>
    <w:p>
      <w:pPr>
        <w:ind w:firstLine="708"/>
        <w:jc w:val="both"/>
        <w:spacing w:after="0" w:afterAutospacing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Кроме того, Департаментом экономического развития автономного округа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проанализирован опыт взаимодействия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местных товаропроизводителей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 торговых сетей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в других регионах. Так, в Республике Татарстан используются аналогичные мех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анизмы взаимодействия при выводе товаропроизводителей в федеральные торговые сети (проведение дегустаций, дней поставщиков, осуществляется индивидуальное сопровождение товаропроизводителей на первичном этапе взаимодействия с федеральными торговыми сетями).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modified xsi:type="dcterms:W3CDTF">2025-07-08T06:28:29Z</dcterms:modified>
</cp:coreProperties>
</file>