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5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протоколу № 98/71 совместного заседания 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Совета при Правительстве Ханты-Мансийского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автономного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округа – Югры по вопросам развития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инвестиционной деятельности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Ханты-Мансийском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автономном округе – Югре и Совета по развитию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Ханты-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Мансийском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автономном округе – Югре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Положение о Рабочей группе Со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вета при Правительстве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Ханты-Мансийского автономного округа – Югры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вопросам развития инвестиционной деятельности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Ханты-Мансийском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автономном округе – Югре по ключевым вопросам улучшения бизнес-среды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(далее – Положение)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Calibri" w:hAnsi="Calibri" w:eastAsia="Times New Roman" w:cs="Calibri"/>
          <w:color w:val="000000" w:themeColor="text1"/>
          <w:sz w:val="28"/>
          <w:szCs w:val="28"/>
        </w:rPr>
      </w:pPr>
      <w:r>
        <w:rPr>
          <w:rFonts w:ascii="Calibri" w:hAnsi="Calibri" w:eastAsia="Times New Roman" w:cs="Calibri"/>
          <w:color w:val="000000" w:themeColor="text1"/>
          <w:sz w:val="28"/>
          <w:szCs w:val="28"/>
        </w:rPr>
      </w:r>
      <w:r>
        <w:rPr>
          <w:rFonts w:ascii="Calibri" w:hAnsi="Calibri" w:eastAsia="Times New Roman" w:cs="Calibri"/>
          <w:color w:val="000000" w:themeColor="text1"/>
          <w:sz w:val="28"/>
          <w:szCs w:val="28"/>
        </w:rPr>
      </w:r>
      <w:r>
        <w:rPr>
          <w:rFonts w:ascii="Calibri" w:hAnsi="Calibri" w:eastAsia="Times New Roman" w:cs="Calibri"/>
          <w:color w:val="000000" w:themeColor="text1"/>
          <w:sz w:val="28"/>
          <w:szCs w:val="28"/>
        </w:rPr>
      </w:r>
    </w:p>
    <w:p>
      <w:pPr>
        <w:jc w:val="center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1. Общие положения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1.1. 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бочая группа Совета при Правительстве Ханты-Мансийского автономного округа – Югры по вопросам развития инвестиционной деятельности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Ханты-Мансийском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автономном округе – Югре (далее – Рабочая группа) создана в целях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рассмотрения ключевых вопросов улучшени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я бизнес-сред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ы,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выработки предложений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по основным направлениям развития бизнеса, цели которого направлены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не только на ком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мерческие интересы, но и сохранение окружающей среды, установление дополнительных социальных гарантий, а также на повышение уровня жизни населения (далее – ответственное ведение бизнеса), определения приоритетов развития с учетом экономических, финансовых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и иных возможностей региона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организации совместной работы с акционерным обществом «Российский экспортный центр» (далее – РЭЦ) по 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highlight w:val="none"/>
        </w:rPr>
        <w:t xml:space="preserve">выработке предложений по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highlight w:val="none"/>
        </w:rPr>
        <w:t xml:space="preserve"> развитию электронных сервисов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цифровой платформы «Мой экспорт» (далее – Сервисы), а также для выработки рекомендаций, основанных на результатах полученной обратной связи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от пользователей Сервисов, и является постоянно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действующим совещательным органом.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2. Основные функции Рабочей груп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2.1. Рабочая группа в пределах компетенции: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оказывает содействие инвесторам в защите их прав и законных интересов;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оказывает содействие развитию доступности финансовых услуг на территории автономного округа;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осуществляет анализ обращений инвесторов 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вопросам поддержки и развития инвестиционной деятельности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Ханты-Мансийском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автономном округе – Югре (далее – автономный округ);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разрабатывает рекомендации исполнительным органам</w:t>
      </w:r>
      <w:r>
        <w:rPr>
          <w:rFonts w:ascii="Times New Roman" w:hAnsi="Times New Roman" w:eastAsia="Times New Roman" w:cs="Times New Roman"/>
          <w:strike/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автономного округа, органам местного самоуправления муниципальных образовани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й автономного округа по вопросам реализации государственной политики, направленной на создание условий для привлечения инвестиций в экономику автономного округа и развития экспортного потенциала автономного окр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уга,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 том числе в целях эффективного использования земельных участков при реализации инвестиционных проектов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рассматривает вопросы внедрения и реализации Стандарта по обеспечению благоприятных условий для развития экспортной деятельности в автономном округе (Региональный экспортный стандарт 2.0);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widowControl w:val="off"/>
        <w:rPr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формирует ежегодный график проведения исследований, направленных на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 всесторонне изучение Сервисов (далее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Исследование) в установленном порядке (приложение к Положению), основываясь на предложениях участников Рабочей группы, а также поступающих запросах со стороны РЭЦ;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  <w:t xml:space="preserve">разрабатывает предложения для формирования благоприятных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  <w:t xml:space="preserve">условий ведения ответственного бизнеса в автономном округе, защиты прав и законных интересов представителей бизнес-сообщества, которым присвоен индекс деловой репутации (ЭКГ-рейтинг) в соответствии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  <w:t xml:space="preserve">с ГОСТ Р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  <w:t xml:space="preserve">71198-2023 «Национальный стандарт Российской Федерации. Индекс деловой репутации субъектов предпринимательской деятельности (ЭКГ-рейтинг). Методика оценки и порядок формирования ЭКГ-рейтинга ответственного бизнеса» (далее – субъект ответственного бизнеса);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  <w:t xml:space="preserve">вырабатывает рекомендации по организации взаимодействия исполнительных органов автономного округа и лиц, участвующих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  <w:br/>
        <w:t xml:space="preserve">в развитии ответственного ведения бизнеса в автономном округе;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  <w:t xml:space="preserve">вырабатывает рекомендации по внедрению практик ответственного ведения бизнеса в автономном округе;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  <w:t xml:space="preserve">принимает решения о соответствии проектов, реализуемых субъектами ответственного бизнеса, целям и приоритетам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  <w:br/>
        <w:t xml:space="preserve">социально-экономического развития Югры,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  <w:t xml:space="preserve"> в том числе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  <w:t xml:space="preserve"> региональной (комплексной) программе автономного округа «Развитие Арктической зоны в Югре»;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  <w:t xml:space="preserve">проводит анализ соответствия проектов, реализуемых субъектами ответственного бизнеса,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  <w:t xml:space="preserve">в целях определения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  <w:t xml:space="preserve"> возможност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  <w:t xml:space="preserve">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  <w:t xml:space="preserve"> получения мер государственной поддержки;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  <w:t xml:space="preserve">определяет основные направления и меры государственной по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  <w:t xml:space="preserve">ддержки для субъектов ответственного бизнеса в разрезе их категорий (крупные, средние, малые, микро-предприятия, индивидуальные предприниматели) и направлений деятельности, в том числе для субъектов ответственного бизнеса, осуществляющих свою деятельность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  <w:t xml:space="preserve">на территории муниципальных образований автономного округа, относящихся к Арктической зоне Российской Федерации;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360" w:lineRule="auto"/>
        <w:widowControl w:val="off"/>
        <w:rPr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  <w:t xml:space="preserve">вырабатывает предложения для разработки и актуализации мер государственной поддержки в автономном округе для субъектов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  <w:t xml:space="preserve">ответственного бизнеса, а также определяет порядок их применения;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организует проведение Исследований в автономном окр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уге;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формирует перечень участников Исследования, обеспечивает необходимый количественный и качественный состав участников;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вносит по согласованию с РЭЦ изменения в опросные листы, ссылки на онлайн-опросы и иные документы, поступившие от РЭЦ для проведения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Исследования;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формирует сводный отчет по каждому проведенному Исследованию и направляет его в РЭЦ;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получает и консолидирует обратную связь по использованию Сервисов от представителей компаний, зарегистрированных на территории автономного округа, и перед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ачи информации для обработки в РЭЦ;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вырабатывает предложения по улучшению, совершенствованию и развитию Сервисов по результатам проведенных исследований.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направляет в РЭЦ предложения по улучшению Сервисов, сформированные на основе проведенных Исследований.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ab/>
        <w:t xml:space="preserve">2.2. Рабочая группа имеет право: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запрашивать от территориальных органов федеральных органов исполнительной власти, исполнительных органов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автономного округа, органов местного самоуправления информацию по вопросам, входящим в компетенцию Рабочей группы;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приглашать на заседания Совета и заслушивать должностных лиц и специалистов исполнительных органов автономного округа, органов местного самоуправления, территориальных органов федеральных органов исполнительной власти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представителей организаций инфраструктуры поддержки малого и среднего предпринимательства автономного округа, научных, образовательных и иных организаций по вопросам, входящим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в компетенцию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Рабочей группы.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3. Организация деятельности Рабочей группы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3.1. В состав Рабочей группы входят председатель Рабочей группы, заместитель председателя Рабочей группы, секретарь Рабочей группы и члены Рабочей группы.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3.2. Председатель Рабочей группы: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руководит деятельностью Рабочей группы, определяет перечень, сроки и порядок рассмотрения вопросов на заседании Рабочей группы;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подписывает протоколы заседания Рабочей группы.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3.3. В отсутствие председателя Рабочей группы его обязанности исполняет заместит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ель.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3.4. Секретарь Рабочей группы: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осуществляет подготовку материалов к заседаниям Рабочей группы;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ведет протоколы заседаний Рабочей группы, оформляет и рассылает их членам Рабочей группы;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уведомляет членов Рабочей группы о месте, дате, времени проведения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заседания Рабочей группы.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3.5. Заседания Рабочей группы проводятся по мере необходимости, а также исходя из согласованного графика проведения Исследований.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3.6. Решения Рабочей группы принимаются большинством голосов, присутствующих на заседании членов 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бочей группы, и оформляются протоколом заседания Рабочей группы. В случае равенства голосов решающим является голос председательствующего на заседании Рабочей группы.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3.7. Обеспечение деятельности Рабочей группы осуществляет Департамент экономического раз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вития Ханты-Мансийского автономного округа – Югры.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886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color w:val="000000" w:themeColor="text1"/>
          <w:sz w:val="28"/>
          <w:szCs w:val="28"/>
          <w:highlight w:val="none"/>
        </w:rPr>
      </w:r>
    </w:p>
    <w:p>
      <w:pPr>
        <w:pStyle w:val="886"/>
        <w:jc w:val="center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color w:val="000000" w:themeColor="text1"/>
          <w:sz w:val="28"/>
          <w:szCs w:val="28"/>
          <w:highlight w:val="none"/>
        </w:rPr>
      </w:r>
    </w:p>
    <w:p>
      <w:pPr>
        <w:pStyle w:val="886"/>
        <w:jc w:val="center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color w:val="000000" w:themeColor="text1"/>
          <w:sz w:val="28"/>
          <w:szCs w:val="28"/>
          <w:highlight w:val="none"/>
        </w:rPr>
      </w:r>
    </w:p>
    <w:p>
      <w:pPr>
        <w:pStyle w:val="886"/>
        <w:jc w:val="center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color w:val="000000" w:themeColor="text1"/>
          <w:sz w:val="28"/>
          <w:szCs w:val="28"/>
          <w:highlight w:val="none"/>
        </w:rPr>
      </w:r>
    </w:p>
    <w:p>
      <w:pPr>
        <w:pStyle w:val="886"/>
        <w:jc w:val="center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color w:val="000000" w:themeColor="text1"/>
          <w:sz w:val="28"/>
          <w:szCs w:val="28"/>
          <w:highlight w:val="none"/>
        </w:rPr>
      </w:r>
    </w:p>
    <w:p>
      <w:pPr>
        <w:pStyle w:val="886"/>
        <w:jc w:val="center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color w:val="000000" w:themeColor="text1"/>
          <w:sz w:val="28"/>
          <w:szCs w:val="28"/>
          <w:highlight w:val="none"/>
        </w:rPr>
      </w:r>
    </w:p>
    <w:p>
      <w:pPr>
        <w:pStyle w:val="886"/>
        <w:jc w:val="center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color w:val="000000" w:themeColor="text1"/>
          <w:sz w:val="28"/>
          <w:szCs w:val="28"/>
          <w:highlight w:val="none"/>
        </w:rPr>
      </w:r>
    </w:p>
    <w:p>
      <w:pPr>
        <w:pStyle w:val="886"/>
        <w:jc w:val="center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</w:rPr>
        <w:t xml:space="preserve">Состав Рабочей группы </w:t>
      </w:r>
      <w:r>
        <w:rPr>
          <w:b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86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Совета при Правительстве Ханты-Мансийского 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автономного округа – Югры по вопросам развития инвестиционной деятельности </w:t>
      </w:r>
      <w:r>
        <w:rPr>
          <w:b/>
          <w:color w:val="000000" w:themeColor="text1"/>
          <w:sz w:val="28"/>
          <w:szCs w:val="28"/>
        </w:rPr>
        <w:t xml:space="preserve">в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Ханты-Мансийском</w:t>
      </w:r>
      <w:r>
        <w:rPr>
          <w:b/>
          <w:color w:val="000000" w:themeColor="text1"/>
          <w:sz w:val="28"/>
          <w:szCs w:val="28"/>
        </w:rPr>
        <w:t xml:space="preserve"> автономно</w:t>
      </w:r>
      <w:r>
        <w:rPr>
          <w:b/>
          <w:color w:val="000000" w:themeColor="text1"/>
          <w:sz w:val="28"/>
          <w:szCs w:val="28"/>
        </w:rPr>
        <w:t xml:space="preserve">м округе – Югре по ключевым вопросам улучшения бизнес-среды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jc w:val="center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Первый заместитель Губернатора Ханты-Мансийского автономного округа – Югры, в ведении которого находится </w:t>
      </w:r>
      <w:r>
        <w:rPr>
          <w:color w:val="000000" w:themeColor="text1"/>
          <w:sz w:val="28"/>
          <w:szCs w:val="28"/>
          <w:highlight w:val="none"/>
        </w:rPr>
        <w:t xml:space="preserve">Департамент недропользования и природных ресурсов Ханты-Мансийского автономного округа – Югры</w:t>
      </w:r>
      <w:r>
        <w:rPr>
          <w:color w:val="000000" w:themeColor="text1"/>
          <w:sz w:val="28"/>
          <w:szCs w:val="28"/>
          <w:highlight w:val="none"/>
        </w:rPr>
        <w:t xml:space="preserve">, председат</w:t>
      </w:r>
      <w:r>
        <w:rPr>
          <w:color w:val="000000" w:themeColor="text1"/>
          <w:sz w:val="28"/>
          <w:szCs w:val="28"/>
          <w:highlight w:val="none"/>
        </w:rPr>
        <w:t xml:space="preserve">ель Рабочей группы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Заместитель Губернатора, директор Департамента экономического развития Ханты-Мансийского автономного округа – Югры</w:t>
      </w:r>
      <w:r>
        <w:rPr>
          <w:color w:val="000000" w:themeColor="text1"/>
          <w:sz w:val="28"/>
          <w:szCs w:val="28"/>
          <w:highlight w:val="none"/>
        </w:rPr>
        <w:t xml:space="preserve">, заместитель председателя Рабочей группы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Начальник управления инвестиционной политики Департамента экономического разви</w:t>
      </w:r>
      <w:r>
        <w:rPr>
          <w:color w:val="000000" w:themeColor="text1"/>
          <w:sz w:val="28"/>
          <w:szCs w:val="28"/>
          <w:highlight w:val="none"/>
        </w:rPr>
        <w:t xml:space="preserve">тия Ханты-Мансийского автономного округа – Югры (в случае отсутствия – </w:t>
      </w:r>
      <w:r>
        <w:rPr>
          <w:color w:val="000000" w:themeColor="text1"/>
          <w:sz w:val="28"/>
          <w:szCs w:val="28"/>
          <w:highlight w:val="none"/>
        </w:rPr>
        <w:t xml:space="preserve">заместитель начальника управления – начальник отдела</w:t>
      </w:r>
      <w:r>
        <w:rPr>
          <w:color w:val="000000" w:themeColor="text1"/>
          <w:sz w:val="28"/>
          <w:szCs w:val="28"/>
          <w:highlight w:val="none"/>
        </w:rPr>
        <w:t xml:space="preserve"> развития инвестиционной деятельности управления инвестиционной политики</w:t>
      </w:r>
      <w:r>
        <w:rPr>
          <w:color w:val="000000" w:themeColor="text1"/>
          <w:sz w:val="28"/>
          <w:szCs w:val="28"/>
          <w:highlight w:val="none"/>
        </w:rPr>
        <w:t xml:space="preserve"> Департамента экономического развития Ханты-Мансийского автономного округа – Югры</w:t>
      </w:r>
      <w:r>
        <w:rPr>
          <w:color w:val="000000" w:themeColor="text1"/>
          <w:sz w:val="28"/>
          <w:szCs w:val="28"/>
          <w:highlight w:val="none"/>
        </w:rPr>
        <w:t xml:space="preserve">), секретарь Совета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Заместитель Губернатора, в ведении которого находится Департамент строительства и архитектуры</w:t>
      </w:r>
      <w:r>
        <w:rPr>
          <w:color w:val="000000" w:themeColor="text1"/>
          <w:sz w:val="28"/>
          <w:szCs w:val="28"/>
          <w:highlight w:val="none"/>
        </w:rPr>
        <w:t xml:space="preserve"> Ханты-Мансийского автономного округа – Югры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Заместитель Губернатора, в ведении которого находится Департамент жилищно-коммунального комплекса и энергетики Ханты-Мансийского автономного округа – Югры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Заместитель Губернатора, в ведении которого находится Департамен</w:t>
      </w:r>
      <w:r>
        <w:rPr>
          <w:color w:val="000000" w:themeColor="text1"/>
          <w:sz w:val="28"/>
          <w:szCs w:val="28"/>
          <w:highlight w:val="none"/>
        </w:rPr>
        <w:t xml:space="preserve">т здравоохранения Ханты-Мансийского автономного округа – Югры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Директор Департамента</w:t>
      </w:r>
      <w:r>
        <w:rPr>
          <w:color w:val="000000" w:themeColor="text1"/>
          <w:sz w:val="28"/>
          <w:szCs w:val="28"/>
          <w:highlight w:val="none"/>
        </w:rPr>
        <w:t xml:space="preserve"> строительства и архитектуры Ханты-Мансийского автономного округа – Югры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– главный архитектор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Директор Департамента жилищно-коммунального комплекса и энергетики Ханты-Мансийского автономного округа – Югры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Директор Департамента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по управлению государственным имуществом Ханты-Мансийского автономного округа </w:t>
      </w:r>
      <w:r>
        <w:rPr>
          <w:color w:val="000000" w:themeColor="text1"/>
          <w:sz w:val="28"/>
          <w:szCs w:val="28"/>
          <w:highlight w:val="none"/>
        </w:rPr>
        <w:t xml:space="preserve">–</w:t>
      </w:r>
      <w:r>
        <w:rPr>
          <w:color w:val="000000" w:themeColor="text1"/>
          <w:sz w:val="28"/>
          <w:szCs w:val="28"/>
          <w:highlight w:val="none"/>
        </w:rPr>
        <w:t xml:space="preserve"> Югры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Заместитель Директора Департамента экономического развития Ханты-Мансийского автономного округа – Югры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Начальник управления развития конкуренции Департамента экономического развития Ханты-Мансийского автономного округа – Югры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Депутат Думы Ханты-Мансийского автономного округа – Югры,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 заместитель председателя Комитета Думы Ханты-Мансийского автономного округа – Югры по бюджету, финансам и налоговой политике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 (по согласованию)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Председатель Общественной палаты Ханты-Мансийского автономного округа – Югры (по согласованию)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Заместитель председателя Общественной палаты Ханты-Мансийского автономного округа – Югры (по согласованию)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Сопредседатель Ханты-Мансийского регионального отделения Общероссийской общественной </w:t>
      </w:r>
      <w:r>
        <w:rPr>
          <w:color w:val="000000" w:themeColor="text1"/>
          <w:sz w:val="28"/>
          <w:szCs w:val="28"/>
          <w:highlight w:val="none"/>
        </w:rPr>
        <w:t xml:space="preserve">организации «Деловая Россия» (по согласованию)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Управляющий Югорским ГОСБ 5940 Уральского банка ПАО Сбербанк </w:t>
      </w:r>
      <w:r>
        <w:rPr>
          <w:color w:val="000000" w:themeColor="text1"/>
          <w:sz w:val="28"/>
          <w:szCs w:val="28"/>
          <w:highlight w:val="none"/>
        </w:rPr>
        <w:t xml:space="preserve">(по согласованию)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Управляющий филиалом «Газпромбанк» (Акционерное общество) в городе Сургуте (по согласованию)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Управляющий региональным операцион</w:t>
      </w:r>
      <w:r>
        <w:rPr>
          <w:color w:val="000000" w:themeColor="text1"/>
          <w:sz w:val="28"/>
          <w:szCs w:val="28"/>
          <w:highlight w:val="none"/>
        </w:rPr>
        <w:t xml:space="preserve">ным офисом «Ханты-Мансийский» Банка ВТБ ПАО (по согласованию)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Уполномоченный по защите прав предпринимателей </w:t>
      </w:r>
      <w:r>
        <w:rPr>
          <w:color w:val="000000" w:themeColor="text1"/>
          <w:sz w:val="28"/>
          <w:szCs w:val="28"/>
          <w:highlight w:val="none"/>
        </w:rPr>
        <w:t xml:space="preserve">в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Ханты-Мансийском</w:t>
      </w:r>
      <w:r>
        <w:rPr>
          <w:color w:val="000000" w:themeColor="text1"/>
          <w:sz w:val="28"/>
          <w:szCs w:val="28"/>
          <w:highlight w:val="none"/>
        </w:rPr>
        <w:t xml:space="preserve"> автономном округе – Югре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Общественный представитель Автономной некоммерческой организации «Агентство стратегических инициатив п</w:t>
      </w:r>
      <w:r>
        <w:rPr>
          <w:color w:val="000000" w:themeColor="text1"/>
          <w:sz w:val="28"/>
          <w:szCs w:val="28"/>
          <w:highlight w:val="none"/>
        </w:rPr>
        <w:t xml:space="preserve">о продвижению новых проектов» </w:t>
      </w:r>
      <w:r>
        <w:rPr>
          <w:color w:val="000000" w:themeColor="text1"/>
          <w:sz w:val="28"/>
          <w:szCs w:val="28"/>
          <w:highlight w:val="none"/>
        </w:rPr>
        <w:t xml:space="preserve">в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Ханты-Мансийском</w:t>
      </w:r>
      <w:r>
        <w:rPr>
          <w:color w:val="000000" w:themeColor="text1"/>
          <w:sz w:val="28"/>
          <w:szCs w:val="28"/>
          <w:highlight w:val="none"/>
        </w:rPr>
        <w:t xml:space="preserve"> автономном округе – Югре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Заместитель директора Общества с ограниченной ответственностью «НРКК «Санта-Мария» (по согласованию)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Заместитель генерального директора – главный бухгалтер </w:t>
      </w:r>
      <w:r>
        <w:rPr>
          <w:color w:val="000000" w:themeColor="text1"/>
          <w:sz w:val="28"/>
          <w:szCs w:val="28"/>
          <w:highlight w:val="none"/>
        </w:rPr>
        <w:br/>
        <w:t xml:space="preserve">АО «Югорский лесопромышл</w:t>
      </w:r>
      <w:r>
        <w:rPr>
          <w:color w:val="000000" w:themeColor="text1"/>
          <w:sz w:val="28"/>
          <w:szCs w:val="28"/>
          <w:highlight w:val="none"/>
        </w:rPr>
        <w:t xml:space="preserve">енный холдинг» (по согласованию)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Генеральный директор Общества с ограниченной ответственностью «</w:t>
      </w:r>
      <w:r>
        <w:rPr>
          <w:color w:val="000000" w:themeColor="text1"/>
          <w:sz w:val="28"/>
          <w:szCs w:val="28"/>
          <w:highlight w:val="none"/>
        </w:rPr>
        <w:t xml:space="preserve">Сургутмебель</w:t>
      </w:r>
      <w:r>
        <w:rPr>
          <w:color w:val="000000" w:themeColor="text1"/>
          <w:sz w:val="28"/>
          <w:szCs w:val="28"/>
          <w:highlight w:val="none"/>
        </w:rPr>
        <w:t xml:space="preserve">» (по согласованию)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Заместитель управляющего Отделением по Тюменской области Уральского главного управления Центрального банка Российской Федерации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Начальник отдела платёжных систем и расчётов Отделения по Тюменской области Уральского главного управления Центрального банка Российской Федерации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Управляющий областным центром Сургут МР «Урал» АО «Почта Банк»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(по согласованию)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Управляющий ОО «Тюменский» </w:t>
      </w:r>
      <w:r>
        <w:rPr>
          <w:color w:val="000000" w:themeColor="text1"/>
          <w:sz w:val="28"/>
          <w:szCs w:val="28"/>
          <w:highlight w:val="none"/>
        </w:rPr>
        <w:t xml:space="preserve">ПАО Банк «</w:t>
      </w:r>
      <w:r>
        <w:rPr>
          <w:color w:val="000000" w:themeColor="text1"/>
          <w:sz w:val="28"/>
          <w:szCs w:val="28"/>
          <w:highlight w:val="none"/>
        </w:rPr>
        <w:t xml:space="preserve">Синара</w:t>
      </w:r>
      <w:r>
        <w:rPr>
          <w:color w:val="000000" w:themeColor="text1"/>
          <w:sz w:val="28"/>
          <w:szCs w:val="28"/>
          <w:highlight w:val="none"/>
        </w:rPr>
        <w:t xml:space="preserve">» (по согласованию)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Директор филиала АО «Почта России» УФПС Ханты-Мансийского автономного округа – Югры (по согласованию)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Руководитель направления по развитию нефинансовых продуктов акционерного общества «Российский экспортный центр» </w:t>
      </w:r>
      <w:r>
        <w:rPr>
          <w:color w:val="000000" w:themeColor="text1"/>
          <w:sz w:val="28"/>
          <w:szCs w:val="28"/>
          <w:highlight w:val="none"/>
        </w:rPr>
        <w:t xml:space="preserve">(по согласованию)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Директ</w:t>
      </w:r>
      <w:r>
        <w:rPr>
          <w:color w:val="000000" w:themeColor="text1"/>
          <w:sz w:val="28"/>
          <w:szCs w:val="28"/>
          <w:highlight w:val="none"/>
        </w:rPr>
        <w:t xml:space="preserve">ор по координации проекта «Одно окно» акционерного общества «Российский экспортный центр» </w:t>
      </w:r>
      <w:r>
        <w:rPr>
          <w:color w:val="000000" w:themeColor="text1"/>
          <w:sz w:val="28"/>
          <w:szCs w:val="28"/>
          <w:highlight w:val="none"/>
        </w:rPr>
        <w:t xml:space="preserve">(по согласованию)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Старший эксперт по развитию платформы «Профессионалы Экспорта» акционерного общества «Российский экспортный центр» </w:t>
      </w:r>
      <w:r>
        <w:rPr>
          <w:color w:val="000000" w:themeColor="text1"/>
          <w:sz w:val="28"/>
          <w:szCs w:val="28"/>
          <w:highlight w:val="none"/>
        </w:rPr>
        <w:t xml:space="preserve">(по согласованию)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Представитель Фонда поддержки предпринимательства Югры «Мой бизнес» (по согласованию)</w:t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Представитель Фонда развития Ханты-Мансийского автономного округа – Югры (по согласованию)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right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9"/>
        <w:jc w:val="right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Приложение к Положению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center"/>
        <w:spacing w:before="160"/>
        <w:tabs>
          <w:tab w:val="left" w:pos="284" w:leader="none"/>
        </w:tabs>
        <w:rPr>
          <w:b w:val="0"/>
          <w:bCs w:val="0"/>
          <w:color w:val="000000" w:themeColor="text1"/>
          <w:sz w:val="28"/>
          <w:szCs w:val="28"/>
        </w:rPr>
        <w:outlineLvl w:val="0"/>
      </w:pPr>
      <w:r>
        <w:rPr>
          <w:b w:val="0"/>
          <w:bCs w:val="0"/>
          <w:sz w:val="28"/>
          <w:szCs w:val="28"/>
        </w:rPr>
      </w:r>
      <w:bookmarkStart w:id="1" w:name="undefined"/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Порядок проведения Исследо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ваний</w:t>
      </w:r>
      <w:bookmarkEnd w:id="1"/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(далее – Порядок)</w:t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pStyle w:val="727"/>
        <w:numPr>
          <w:ilvl w:val="1"/>
          <w:numId w:val="4"/>
        </w:numPr>
        <w:ind w:left="0" w:firstLine="709"/>
        <w:jc w:val="both"/>
        <w:spacing w:after="0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Проведение Исследования включает в себя следующие этапы: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/>
        <w:jc w:val="both"/>
        <w:spacing w:after="0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подготовительный этап;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/>
        <w:jc w:val="both"/>
        <w:spacing w:after="0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проведение Исследования;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/>
        <w:jc w:val="both"/>
        <w:spacing w:after="0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получение обратной связи от участников Исследования;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/>
        <w:jc w:val="both"/>
        <w:spacing w:after="0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консолидация полученных результатов.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27"/>
        <w:numPr>
          <w:ilvl w:val="1"/>
          <w:numId w:val="4"/>
        </w:numPr>
        <w:ind w:left="0" w:firstLine="709"/>
        <w:jc w:val="both"/>
        <w:spacing w:after="0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Исследовани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я проводятся по графику, сформированному Рабочей группой. Запрос на добавление Исследования в согласованный и утвержденный график должен поступать в Рабочую группу не позднее, чем за 1 месяц до непосредственного проведения Исследования.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27"/>
        <w:numPr>
          <w:ilvl w:val="1"/>
          <w:numId w:val="4"/>
        </w:numPr>
        <w:ind w:left="0" w:firstLine="709"/>
        <w:jc w:val="both"/>
        <w:spacing w:after="0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Целями проводимых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сследований могут быть: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8"/>
        <w:jc w:val="both"/>
        <w:spacing w:after="0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оценка удовлетворенности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работы (стабильное функционирование, скорость загрузки) цифровой платформы «Мой экспорт», в том числе отдельных Сервисов платформы;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8"/>
        <w:jc w:val="both"/>
        <w:spacing w:after="0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исследование клиентского пути при получении услуг 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Платформе;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8"/>
        <w:jc w:val="both"/>
        <w:spacing w:after="0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исследовани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интерфейса (качества дизайна, навигации и структуры) платформы «Мой экспорт», в том числе отдельных Сервисов платформы.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27"/>
        <w:numPr>
          <w:ilvl w:val="1"/>
          <w:numId w:val="4"/>
        </w:numPr>
        <w:ind w:left="0" w:firstLine="709"/>
        <w:jc w:val="both"/>
        <w:spacing w:after="0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 подготовительном этапе Рабочая группа формирует перечень участников Исследования, получает необходимые согласия на участие, информи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рует о форме и сроках проведения Исследования; определяет метод проведения Исследования. Количество участников каждого Исследования не может быть менее 10.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27"/>
        <w:numPr>
          <w:ilvl w:val="1"/>
          <w:numId w:val="4"/>
        </w:numPr>
        <w:ind w:left="0" w:firstLine="709"/>
        <w:jc w:val="both"/>
        <w:spacing w:after="0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 этапе проведения Исследования Рабочая группа способствует достижению поставленных целей и задач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сследования. В рамках данного этапа проводится рассылка опросных листов, онлайн-ссылок, инструкций по участию в Исследовании, а также, в зависимости от выбранного метода Исследования, проводятся иные мероприятия. 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27"/>
        <w:numPr>
          <w:ilvl w:val="1"/>
          <w:numId w:val="4"/>
        </w:numPr>
        <w:ind w:left="0" w:firstLine="709"/>
        <w:jc w:val="both"/>
        <w:spacing w:after="0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Исследование может проводиться в формате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опроса (в том числе в онлайн), А/В тестирования,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фокус-группы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, интервью, наблюдения,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модерируемых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немодерируемых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тестов.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Модерируемые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тесты проводятся с участием представителя РЭЦ.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27"/>
        <w:numPr>
          <w:ilvl w:val="1"/>
          <w:numId w:val="4"/>
        </w:numPr>
        <w:ind w:left="0" w:firstLine="709"/>
        <w:jc w:val="both"/>
        <w:spacing w:after="0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 этапе получения обратной связи Рабочая группа обеспечивает своевремен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ное предоставление ответов от участников Исследования.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27"/>
        <w:numPr>
          <w:ilvl w:val="1"/>
          <w:numId w:val="4"/>
        </w:numPr>
        <w:ind w:left="0" w:firstLine="709"/>
        <w:jc w:val="both"/>
        <w:spacing w:after="0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 этапе консолидации полученных результатов Рабочая группа формирует сводный отчет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форме, согласно приложению к Порядку,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и направляет его в РЭЦ не позднее 30 календарных дней с момента окончания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сследования. Сводный отчет должен включать информацию о фактическом периоде проведения Исследования, количестве и составе участников Исследования. К сводному отчету должны быть приложены опросные листы (в случае проведения онлайн-опроса листы не прикладыва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ются). К сводному отчету дополнительно могут быть приложены письменные мнения и предложения участников Рабочей группы.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27"/>
        <w:numPr>
          <w:ilvl w:val="1"/>
          <w:numId w:val="4"/>
        </w:numPr>
        <w:ind w:left="0" w:firstLine="709"/>
        <w:jc w:val="both"/>
        <w:spacing w:after="0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РЭЦ имеет право провести выборочную верификацию полученных ответов.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27"/>
        <w:numPr>
          <w:ilvl w:val="1"/>
          <w:numId w:val="4"/>
        </w:numPr>
        <w:ind w:left="0" w:firstLine="709"/>
        <w:jc w:val="both"/>
        <w:spacing w:after="0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РЭЦ проводит обработку полученной обратной связи по результатам Иссле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дования.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br w:type="page" w:clear="all"/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27"/>
        <w:contextualSpacing w:val="0"/>
        <w:ind w:left="0"/>
        <w:jc w:val="right"/>
        <w:spacing w:before="160"/>
        <w:tabs>
          <w:tab w:val="left" w:pos="284" w:leader="none"/>
        </w:tabs>
        <w:rPr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Порядку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отчета о проведенном исследовании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Style w:val="741"/>
        <w:tblW w:w="0" w:type="auto"/>
        <w:tblLook w:val="04A0" w:firstRow="1" w:lastRow="0" w:firstColumn="1" w:lastColumn="0" w:noHBand="0" w:noVBand="1"/>
      </w:tblPr>
      <w:tblGrid>
        <w:gridCol w:w="560"/>
        <w:gridCol w:w="3532"/>
        <w:gridCol w:w="5195"/>
      </w:tblGrid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Субъект РФ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52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(период проведения исследования)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52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участников исследования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52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полученных результатов исследования (ответов, отчетов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52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Перечень участников исследования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информация предоставляется только в случае проведения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неанонимного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исследования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523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 формате ФИО, компания, контактная информация (телефон,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Краткие выводы и предложения по итогам исследования: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__________________________________________________________________________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27"/>
        <w:ind w:left="0" w:firstLine="709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Приложения: опросные листы (в случае проведения онлайн-опроса листы не прикладываются).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Дополнительно: </w:t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lang w:eastAsia="ru-RU"/>
        </w:rPr>
        <w:t xml:space="preserve">могут быть приложены письменные мнения и предложения отдельных участников Р</w:t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lang w:eastAsia="ru-RU"/>
        </w:rPr>
        <w:t xml:space="preserve">абочей группы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418" w:right="1276" w:bottom="1134" w:left="1559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5493766"/>
      <w:docPartObj>
        <w:docPartGallery w:val="Page Numbers (Top of Page)"/>
        <w:docPartUnique w:val="true"/>
      </w:docPartObj>
      <w:rPr/>
    </w:sdtPr>
    <w:sdtContent>
      <w:p>
        <w:pPr>
          <w:pStyle w:val="887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  <w:p>
    <w:pPr>
      <w:pStyle w:val="8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70" w:hanging="360"/>
      </w:pPr>
      <w:rPr>
        <w:rFonts w:hint="default" w:ascii="Times New Roman" w:hAnsi="Times New Roman" w:eastAsia="Times New Roman" w:cs="Times New Roman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</w:style>
  <w:style w:type="paragraph" w:styleId="691">
    <w:name w:val="Heading 1"/>
    <w:basedOn w:val="690"/>
    <w:next w:val="690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690"/>
    <w:next w:val="690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next w:val="690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7">
    <w:name w:val="Heading 7"/>
    <w:basedOn w:val="690"/>
    <w:next w:val="690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8">
    <w:name w:val="Heading 8"/>
    <w:basedOn w:val="690"/>
    <w:next w:val="690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9">
    <w:name w:val="Heading 9"/>
    <w:basedOn w:val="690"/>
    <w:next w:val="690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basedOn w:val="700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basedOn w:val="700"/>
    <w:uiPriority w:val="9"/>
    <w:rPr>
      <w:rFonts w:ascii="Arial" w:hAnsi="Arial" w:eastAsia="Arial" w:cs="Arial"/>
      <w:sz w:val="34"/>
    </w:rPr>
  </w:style>
  <w:style w:type="character" w:styleId="705" w:customStyle="1">
    <w:name w:val="Heading 3 Char"/>
    <w:basedOn w:val="700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Heading 4 Char"/>
    <w:basedOn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5 Char"/>
    <w:basedOn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basedOn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basedOn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basedOn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basedOn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Title Char"/>
    <w:basedOn w:val="700"/>
    <w:uiPriority w:val="10"/>
    <w:rPr>
      <w:sz w:val="48"/>
      <w:szCs w:val="48"/>
    </w:rPr>
  </w:style>
  <w:style w:type="character" w:styleId="713" w:customStyle="1">
    <w:name w:val="Subtitle Char"/>
    <w:basedOn w:val="700"/>
    <w:uiPriority w:val="11"/>
    <w:rPr>
      <w:sz w:val="24"/>
      <w:szCs w:val="24"/>
    </w:rPr>
  </w:style>
  <w:style w:type="character" w:styleId="714" w:customStyle="1">
    <w:name w:val="Quote Char"/>
    <w:uiPriority w:val="29"/>
    <w:rPr>
      <w:i/>
    </w:rPr>
  </w:style>
  <w:style w:type="character" w:styleId="715" w:customStyle="1">
    <w:name w:val="Intense Quote Char"/>
    <w:uiPriority w:val="30"/>
    <w:rPr>
      <w:i/>
    </w:rPr>
  </w:style>
  <w:style w:type="character" w:styleId="716" w:customStyle="1">
    <w:name w:val="Footnote Text Char"/>
    <w:uiPriority w:val="99"/>
    <w:rPr>
      <w:sz w:val="18"/>
    </w:rPr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basedOn w:val="700"/>
    <w:link w:val="692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690"/>
    <w:uiPriority w:val="34"/>
    <w:qFormat/>
    <w:pPr>
      <w:contextualSpacing/>
      <w:ind w:left="720"/>
    </w:pPr>
  </w:style>
  <w:style w:type="paragraph" w:styleId="728">
    <w:name w:val="No Spacing"/>
    <w:uiPriority w:val="1"/>
    <w:qFormat/>
    <w:pPr>
      <w:spacing w:after="0" w:line="240" w:lineRule="auto"/>
    </w:pPr>
  </w:style>
  <w:style w:type="paragraph" w:styleId="729">
    <w:name w:val="Title"/>
    <w:basedOn w:val="690"/>
    <w:next w:val="690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0"/>
    <w:link w:val="729"/>
    <w:uiPriority w:val="10"/>
    <w:rPr>
      <w:sz w:val="48"/>
      <w:szCs w:val="48"/>
    </w:rPr>
  </w:style>
  <w:style w:type="paragraph" w:styleId="731">
    <w:name w:val="Subtitle"/>
    <w:basedOn w:val="690"/>
    <w:next w:val="690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0"/>
    <w:link w:val="731"/>
    <w:uiPriority w:val="11"/>
    <w:rPr>
      <w:sz w:val="24"/>
      <w:szCs w:val="24"/>
    </w:rPr>
  </w:style>
  <w:style w:type="paragraph" w:styleId="733">
    <w:name w:val="Quote"/>
    <w:basedOn w:val="690"/>
    <w:next w:val="690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0"/>
    <w:next w:val="690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character" w:styleId="737" w:customStyle="1">
    <w:name w:val="Header Char"/>
    <w:basedOn w:val="700"/>
    <w:uiPriority w:val="99"/>
  </w:style>
  <w:style w:type="character" w:styleId="738" w:customStyle="1">
    <w:name w:val="Footer Char"/>
    <w:basedOn w:val="700"/>
    <w:uiPriority w:val="99"/>
  </w:style>
  <w:style w:type="paragraph" w:styleId="739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0" w:customStyle="1">
    <w:name w:val="Caption Char"/>
    <w:uiPriority w:val="99"/>
  </w:style>
  <w:style w:type="table" w:styleId="741">
    <w:name w:val="Table Grid"/>
    <w:basedOn w:val="70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2" w:customStyle="1">
    <w:name w:val="Table Grid Light"/>
    <w:basedOn w:val="7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3" w:customStyle="1">
    <w:name w:val="Plain Table 1"/>
    <w:basedOn w:val="7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 w:customStyle="1">
    <w:name w:val="Plain Table 2"/>
    <w:basedOn w:val="70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 w:customStyle="1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 w:customStyle="1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1" w:customStyle="1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2" w:customStyle="1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3" w:customStyle="1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4" w:customStyle="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5" w:customStyle="1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6" w:customStyle="1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5" w:customStyle="1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6" w:customStyle="1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7" w:customStyle="1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8" w:customStyle="1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9" w:customStyle="1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1" w:customStyle="1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4" w:customStyle="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5" w:customStyle="1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6" w:customStyle="1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7" w:customStyle="1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8" w:customStyle="1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9" w:customStyle="1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ned - Accent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8" w:customStyle="1">
    <w:name w:val="Lined - Accent 2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9" w:customStyle="1">
    <w:name w:val="Lined - Accent 3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0" w:customStyle="1">
    <w:name w:val="Lined - Accent 4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1" w:customStyle="1">
    <w:name w:val="Lined - Accent 5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2" w:customStyle="1">
    <w:name w:val="Lined - Accent 6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3" w:customStyle="1">
    <w:name w:val="Bordered &amp; Lined - Accent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5" w:customStyle="1">
    <w:name w:val="Bordered &amp; Lined - Accent 2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6" w:customStyle="1">
    <w:name w:val="Bordered &amp; Lined - Accent 3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7" w:customStyle="1">
    <w:name w:val="Bordered &amp; Lined - Accent 4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8" w:customStyle="1">
    <w:name w:val="Bordered &amp; Lined - Accent 5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9" w:customStyle="1">
    <w:name w:val="Bordered &amp; Lined - Accent 6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0" w:customStyle="1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2" w:customStyle="1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3" w:customStyle="1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4" w:customStyle="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5" w:customStyle="1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6" w:customStyle="1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563c1" w:themeColor="hyperlink"/>
      <w:u w:val="single"/>
    </w:rPr>
  </w:style>
  <w:style w:type="paragraph" w:styleId="868">
    <w:name w:val="footnote text"/>
    <w:basedOn w:val="690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basedOn w:val="700"/>
    <w:uiPriority w:val="99"/>
    <w:unhideWhenUsed/>
    <w:rPr>
      <w:vertAlign w:val="superscript"/>
    </w:rPr>
  </w:style>
  <w:style w:type="paragraph" w:styleId="871">
    <w:name w:val="endnote text"/>
    <w:basedOn w:val="690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basedOn w:val="700"/>
    <w:uiPriority w:val="99"/>
    <w:semiHidden/>
    <w:unhideWhenUsed/>
    <w:rPr>
      <w:vertAlign w:val="superscript"/>
    </w:rPr>
  </w:style>
  <w:style w:type="paragraph" w:styleId="874">
    <w:name w:val="toc 1"/>
    <w:basedOn w:val="690"/>
    <w:next w:val="690"/>
    <w:uiPriority w:val="39"/>
    <w:unhideWhenUsed/>
    <w:pPr>
      <w:spacing w:after="57"/>
    </w:pPr>
  </w:style>
  <w:style w:type="paragraph" w:styleId="875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76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77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78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79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80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81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82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690"/>
    <w:next w:val="690"/>
    <w:uiPriority w:val="99"/>
    <w:unhideWhenUsed/>
    <w:pPr>
      <w:spacing w:after="0"/>
    </w:pPr>
  </w:style>
  <w:style w:type="paragraph" w:styleId="88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86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87">
    <w:name w:val="Header"/>
    <w:basedOn w:val="690"/>
    <w:link w:val="8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8" w:customStyle="1">
    <w:name w:val="Верхний колонтитул Знак"/>
    <w:basedOn w:val="700"/>
    <w:link w:val="887"/>
    <w:uiPriority w:val="99"/>
  </w:style>
  <w:style w:type="paragraph" w:styleId="889">
    <w:name w:val="Footer"/>
    <w:basedOn w:val="690"/>
    <w:link w:val="8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0" w:customStyle="1">
    <w:name w:val="Нижний колонтитул Знак"/>
    <w:basedOn w:val="700"/>
    <w:link w:val="88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BB21-A7B2-4CE9-BE7D-0AD9DCF4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Малюгина Ольга Александровна</dc:creator>
  <cp:revision>19</cp:revision>
  <dcterms:created xsi:type="dcterms:W3CDTF">2024-03-13T05:46:00Z</dcterms:created>
  <dcterms:modified xsi:type="dcterms:W3CDTF">2025-02-28T11:21:15Z</dcterms:modified>
</cp:coreProperties>
</file>