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3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 протоколу № 99/72 совместного заседания 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при Правительстве Ханты-Мансийского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автономного округа – Югры по вопросам развития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инвестиционной деятельности в Ханты-Мансийском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автономном округе – Югре и Совета по развитию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Ханты-Мансийском автономном округе – Югре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Информация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Фонда развития Ханты-Мансийского автономного округа – Югры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об эффективности мер продвижения проектов (продукции) на основе выставочно-ярмарочных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и конгрессных мероприятий, реализуемых субъектами инвестиционной и предпринимательской деятельности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 w:line="276" w:lineRule="auto"/>
        <w:widowControl w:val="o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в Ханты-Мансийском автономном округе – Югре,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в 2024 году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2024 году организовано участие 11 товаропроизводителей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(далее также – автономный округ, Югра)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31-й международной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выставке «ПРОДЭКСПО-2024» с застройкой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ндивидуального коллективного стенда. На стенде Югры были представлены колбасные изделия, рыбные консервы, продукция из оленины, грибы, кедровая продукция, кондитерские изделия с добавлением дикоросов, варенье и джемы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иван-чай, в том числе продукция компаний, которые являются сертифицированными производителями органической продукции. По промежуточным итогам выставки между югорскими товаропроизводителями и федеральными и международными дистрибьютерами достигнуты догово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ренности о поставках продукции на сумму порядка 350 млн. руб. Это более 25 регионов Российской Федерации и 15 стран (ОАЭ, Монголия, Китай, Азербайджан, Турция, Казахстан, Узбекистан, Беларусь, Таджикистан, Кувейт, Канада, Иордания, Израиль, Корея, Кувейт).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Организовано участие в фермерской ярмарке, которая прошла с 5 по 10 марта в 48-м павильоне ВДНХ на Международной выставке-форуме «Россия», продукцию югорских товаропроизводителей представил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Сельскохозяйственный потребительский сбытовой кооператив «Ермак-Агро». По итогам ярмарки реализовано более 400 кг продукции.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Организовано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проведение весенней «Югорской фермерской ярмарки выходного дня», которая прошла 16-17 марта в г. Ханты-Мансийске в КВЦ «Югра-Экспо». В ярмарке приняли участие 52 товаропроизводителя из Югры, Тюменской и Свердловской областей и Ямало-Ненецкого автономного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круга. В честь празднования Масленицы гостей ярмарки угощали свежеиспеченными блинами, а также все желающие могли принять участие в развлекательной викторине, общая проходимость ярмарки составила 6500 человек, а выручка предпринимателей более 4 млн рублей.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площадке Международной выставки туризма и индустрии гостеприимства «MITT – 2024» представители турбизнеса провели более 300 адресных встреч на предоставленных рабочих местах на коллективном стенде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ВизитЮгра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достигнув более 80 договоренностей о сотрудничестве по отправке туристов в Югру, поставке югорских сувениров, сотрудничестве между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ТИЦами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из муниципальных образований автономного округа и других субъектов, заявки на разработку групповых туров и 3 прямых продажи туров в Югру. Выручка предпринимателей по итогу выставки составила 5,3 млн. рублей.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Организован практический семинар от Академии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Роскачества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для товаропроизводителей Ханты-Мансийского автономного окру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га – Югры «Производство и сертификация продукции «Халяль», который прошел в формате онлайн в период с 25 по 28 марта 2024 года. В состав обучающихся вошли 20 человек из числа руководителей и представителей югорских компаний, производящих пищевую продукцию.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рамках участия в IV международной промышленной выставки 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Иннопром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Центральная Азия» (22-24 апреля 2024 года) на организованной коллективной экспозиции Югру представляли 12 региональных компаний, по итогам участия в Выставке шестью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промышленными предприятиями региона заключены экспортные контракты на общую сумму 251,6 млн рублей.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Организовано проведение дегустации продукции 6 товаропроизводителей автономного округа, представленной под товарным знаком «Сделано в Югре!», которая прошла в гипермаркете «Магнит экстра» в г. Сургуте 4 мая 2024 года.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Представители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Центра компетенций в сфере развития сельскохозяйственной кооперации и поддержки фермеров Фонда развития Югры приняли участие в составе делегации Ханты-Мансийского автономного округа – Югры на XV Международном экономическом форуме «Россия – Исламский мир: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KazanForum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 компаний из Югры, специализирующихся на сборе и переработке дикоросов, в том числе отмеченных знаком «Органик» и «Халяль», приняли участие в выездной стажировке по направлению «Сбор, переработка дикоросов» в Томской области.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Организовано участие товаропроизводителей автономного округа в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Российско-Китайской торгово-экономической ярмарке в </w:t>
      </w:r>
      <w:r>
        <w:rPr>
          <w:rFonts w:ascii="Times New Roman" w:hAnsi="Times New Roman"/>
          <w:sz w:val="28"/>
          <w:szCs w:val="28"/>
          <w:highlight w:val="white"/>
        </w:rPr>
        <w:t xml:space="preserve">г.Чуньцин</w:t>
      </w:r>
      <w:r>
        <w:rPr>
          <w:rFonts w:ascii="Times New Roman" w:hAnsi="Times New Roman"/>
          <w:sz w:val="28"/>
          <w:szCs w:val="28"/>
          <w:highlight w:val="white"/>
        </w:rPr>
        <w:t xml:space="preserve"> (КНР) (25-29 января 2024 года)</w:t>
      </w:r>
      <w:r>
        <w:rPr>
          <w:rFonts w:ascii="Times New Roman" w:hAnsi="Times New Roman"/>
          <w:sz w:val="28"/>
          <w:szCs w:val="28"/>
          <w:highlight w:val="white"/>
        </w:rPr>
        <w:t xml:space="preserve"> (ООО «Регион-К» - продукция из дикоросов, СПК «Ханты-</w:t>
      </w:r>
      <w:r>
        <w:rPr>
          <w:rFonts w:ascii="Times New Roman" w:hAnsi="Times New Roman"/>
          <w:sz w:val="28"/>
          <w:szCs w:val="28"/>
          <w:highlight w:val="white"/>
        </w:rPr>
        <w:t xml:space="preserve">Мансийский» ТМ «Эко-фабрика «ЭТНИКА» - мармелад из дикорастущих ягод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ООО «Нижневартовский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рыбокносервный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комбинат «Санта-Мария» - рыбные консервы, АО «Полярный кварц» - кварцевый концентрат (крупка, мука, кусок)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выставке органических продуктов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BioFach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China-2024 в г. Шанхае на коллективной экспозиции, организованной АНО «Российская система качества».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2024 году стенд российской органической продукции впервые представлен на международной выставке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Biofach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China, которая прошла в г. Шанхае с 13 по 15 июня. В выставке принимали участие 18 производителей органической продукции из России, а также Союз органического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земледелия.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Посетители выставки проявили высокий интерес к югорской продукции, а товаропроизводители в свою очередь имеют потенциал ежемесячных поставок продукции в Китайскую Народную Республику объемом более 160 тонн в сумме порядка 87 млн рублей.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25 по 27 июня организовано проведение выездной стажировки в Ямало-Ненецкий автономный округ по направлению «Рыбохозяйственный комплекс, оленеводство».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 время проведения стажировки представители югорских компаний и Департамента промышленности Ханты-Мансийского автономного округа – Югры посетили компании, осуществляющие свою деятельность в сфере рыбопереработки, рыборазвед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ения, производстве продукции из оленины, а также приняли участие в круглом столе по вопросам развития и продвижения отраслевой продукции с представителями органов исполнительной власти в сфере агропромышленного комплекса Ямало-Ненецкого автономного округа.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6 по 9 июля в г. Москве прошел гастрономический фестиваль «Вкусы России», в котором приняли участие 11 сель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хозтоваропроизводителей автономного округа. Было продано около 400 кг рыбных и мясных консервов; более 50 кг сладостей (мармелад, шоколад); более 10 кг сушёных грибов; 100 кг моченой ягоды, сиропов и варенья; 70 шт. чипсов из ягеля, 10 кг. кедрового ореха.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after="0" w:line="36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площадке «ИННОПРОМ-2024»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г.Екатеринбурге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(8-11 июля 2024 года) для предпринимателей Югры (15 компаний югорского бизнеса) органи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зована выездная бизнес-миссия, в том числе B2B-встречи. Проведено около 100 встреч для представителей югорского бизнеса с представителями бизнеса Екатеринбурга, Свердловской области, российских регионов, международных компаний (ОАЭ, Таджикистан, Киргизия).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Фондом развития Югры при поддержке СПСК «Ермак-Агро» 13 июля 2024 года была организована дегустационная зона продукции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товаропроизводителей автономного округа в рамках тематической встречи для муниципального сообщества страны в мастерской управления «СЕНЕЖ» (г. Солнечногорск).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22 по 24 августа 2024 года в Тюмени в ДК «Нефтяник» прошел XII международный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бизнес-форум «Мой бизнес». На полях форума подписано соглашение о сотрудничестве между Фондом «Инвестиционное агентство Тюменской области», Фондом поддержки предпринимательства Югры «Мой Бизнес», Фондом развития Ханты-Мансийского автономного округа – Югры.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период с 7 по 8 сентября на территории г. Ханты-Мансийска впервые прошёл фермерский фестиваль «СВОЁ», организованный Россельхозбанком совместно с Правительством Ханты-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Мансийского автономного округа – Югры, Администрацией города Ханты-Мансийска и Фондом развития Югры. За два дня фестиваль посетили 19,5 тысяч жителей и гостей города, приобрели почти 6,8 тонн вкусной фермерской продукции, а выручка фермеров превысила 10 мл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 рублей. Фестиваль стал одним из крупнейших по объёму реализованной продукции и лидером по результатам продаж среди регионов. На фестивале представили свою продукцию 100 товаропроизводителей Ханты-Мансийского автономного округа – Югры и соседних регионов.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17 по 20 сентября 2024 года в г. Красногорске (Московская область) на территории МВЦ «Крокус Экспо» состоялась 33-ая Международная осенняя выставка продуктов питания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WorldFood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Moscow. Также в Выставке с коллективным стендом приняли участие 9 югорских товаропроизводителей.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мо выставочной части, югорские товаропроизводители приняли участие в дегустационном конкурсе «Продукт года». По итогам конкурса продукция югорских товаропроизводителей отмечена бронзовой и серебряной медалями в категории «Продукты здорового и диетического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питания, органическая продукция», золотой медалью в категории «Кондитерские изделия», золотой медалью в категории «Плодовоовощная продукция, ягоды, зелень».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промежуточным итогам выставки между югорскими товаропроизводителями и федеральными и международными 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стрибьютерами достигнуты договоренности о поставках продукции на сумму более 300 млн рублей в более чем 15 регионов Российской Федерации и 11 стран (Армения, Туркменистан, Китай, Узбекистан, Турция, Беларусь, Казахстан, Израиль, Киргизия, Индия, Германия).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26 по 28 сентября на площадке КВЦ «Югра-Экспо» прошла XII Межрегиональ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ная агропромышленная выставка Уральского федерального округа (далее – агропромышленная выставка). По итогам дегустационного конкурса «Лучший продукт – 2024» в рамках агропромышленной выставки производители Югры удостоены 26 золотых и 10 серебряных медалей.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период с 9 по 12 октября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 года в г. Москве на территории ВЦ «Тимирязев» (ул. Верхняя Аллея, д.8) состоялась Российская агропромышленная выставка «Золотая осень». Ханты-Мансийский автономный округ – Югра на выставке был представлен 7 компаниями на коллективном региональном стенде.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8 по 10 декабря на площадке КВЦ «Югра-Экспо» прошла XXVII выставка-ярмарка окружных товаропроизводителей «Товары земли 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горской». Свои достижения продемонстрировало рекордное количество участников – 234 предпринимателя малого и среднего бизнеса из 22 муниципальных образований автономного округа. За три дня мероприятие посетили более 11 000 человек, было реализовано 20 тонн </w:t>
      </w:r>
      <w:r>
        <w:rPr>
          <w:rFonts w:ascii="Times New Roman" w:hAnsi="Times New Roman"/>
          <w:sz w:val="28"/>
          <w:szCs w:val="28"/>
          <w:highlight w:val="white"/>
        </w:rPr>
        <w:t xml:space="preserve">продукции, а общая выручка предпринимателей составила более 17 млн рублей. Традиционно на выставке были представлены деликатесы, свежие товары из широкого ассортимента мясной и рыбной продукции, дикоросы, сладости, молочные продукты и выпечка.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Также в рамках выставки был проведен конкурс пищевых продуктов «Лучшие вкусы Югры», с общим призовым фондом в 1 млн рублей. Звание лучших вкусов Югры получили 26 видов продукции 15 товаропроизводителей.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sz w:val="28"/>
          <w:szCs w:val="28"/>
          <w:highlight w:val="white"/>
        </w:rPr>
        <w:t xml:space="preserve">рамках презентации туристских возможностей Ханты-Мансийского автономного округа – Югры Центром компетенции в сфере туризма Фонда развития Югры организовано участие субъектов малого и среднего предпринимательства автономного округа в следующих мероприятиях: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27 января в г. Москве на международной выставке-форуме «Россия» на площадке «Дома российской кухни» югорские шеф-повара («У Камелька», г. Когалым, «Панорама», г. Ханты-Мансийск) принимали участие в фестивале «Пир Пирогов».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Посетителям выставки представилась возможность попробовать: сладкий пирог с черёмухой, </w:t>
      </w:r>
      <w:r>
        <w:rPr>
          <w:rFonts w:ascii="Times New Roman" w:hAnsi="Times New Roman"/>
          <w:sz w:val="28"/>
          <w:szCs w:val="28"/>
          <w:highlight w:val="white"/>
        </w:rPr>
        <w:t xml:space="preserve">хантейку</w:t>
      </w:r>
      <w:r>
        <w:rPr>
          <w:rFonts w:ascii="Times New Roman" w:hAnsi="Times New Roman"/>
          <w:sz w:val="28"/>
          <w:szCs w:val="28"/>
          <w:highlight w:val="white"/>
        </w:rPr>
        <w:t xml:space="preserve"> с язем и сорогой, шаньги с олениной, пирог с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подкопченой</w:t>
      </w:r>
      <w:r>
        <w:rPr>
          <w:rFonts w:ascii="Times New Roman" w:hAnsi="Times New Roman"/>
          <w:sz w:val="28"/>
          <w:szCs w:val="28"/>
          <w:highlight w:val="white"/>
        </w:rPr>
        <w:t xml:space="preserve"> нельмой, солёным папоротником и укропом, пирог с брусникой.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 11 февраля в г. Москве на международной выставке-форуме «Россия» на площадке «Дома российской кухни» состоялся гастрономический фестиваль «Вкус Югры».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Фонд развития Югры выступил организатором Югорского экономического форума 18-21 ноября 2024 года.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рамках мероприятия представлены 50 промышленных предприятий Югры. В их числе: Промышленные парки Югры, Югорский лесопромышленный холдинг, Технопарк высоких технологий, ЛУКОЙЛ-Западная Сибирь, </w:t>
      </w:r>
      <w:r>
        <w:rPr>
          <w:rFonts w:ascii="Times New Roman" w:hAnsi="Times New Roman"/>
          <w:sz w:val="28"/>
          <w:szCs w:val="28"/>
          <w:highlight w:val="white"/>
        </w:rPr>
        <w:t xml:space="preserve">БерезкаГаз</w:t>
      </w:r>
      <w:r>
        <w:rPr>
          <w:rFonts w:ascii="Times New Roman" w:hAnsi="Times New Roman"/>
          <w:sz w:val="28"/>
          <w:szCs w:val="28"/>
          <w:highlight w:val="white"/>
        </w:rPr>
        <w:t xml:space="preserve"> Компани, Промышленный технопарк «СИНЕРГИЯ», Сбербанк, Югорский машиностроительный завод, Алмаз-Нефтесервис и многие другие.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b/>
          <w:bCs/>
          <w:color w:val="000000" w:themeColor="text1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Фонд развития Югры являлся оператором, ответственным за обеспечение реализации мероприятий по подготовке к участию Ханты-Мансийского автономного округа – Югры в</w:t>
      </w:r>
      <w:r>
        <w:rPr>
          <w:rFonts w:ascii="Times New Roman" w:hAnsi="Times New Roman"/>
          <w:sz w:val="28"/>
          <w:szCs w:val="28"/>
          <w:highlight w:val="white"/>
        </w:rPr>
        <w:t xml:space="preserve"> Международной выставке-</w:t>
      </w:r>
      <w:r>
        <w:rPr>
          <w:rFonts w:ascii="Times New Roman" w:hAnsi="Times New Roman"/>
          <w:sz w:val="28"/>
          <w:szCs w:val="28"/>
          <w:highlight w:val="white"/>
        </w:rPr>
        <w:t xml:space="preserve">форуме «Россия» (далее – Выставка «Россия»).</w:t>
      </w:r>
      <w:r>
        <w:rPr>
          <w:rFonts w:ascii="Times New Roman" w:hAnsi="Times New Roman"/>
          <w:sz w:val="28"/>
          <w:szCs w:val="28"/>
          <w:highlight w:val="white"/>
        </w:rPr>
        <w:t xml:space="preserve"> Организовано проведение на стенде Югры отраслевых дней – энергетики, сельского хозяйства, промышленности, предпринимательства. Обеспечено участие </w:t>
      </w:r>
      <w:r>
        <w:rPr>
          <w:rFonts w:ascii="Times New Roman" w:hAnsi="Times New Roman"/>
          <w:sz w:val="28"/>
          <w:szCs w:val="28"/>
          <w:highlight w:val="white"/>
        </w:rPr>
        <w:t xml:space="preserve">5 региональных брендов, производимых на территории автономного округа, в Ярмарке-продаже имиджевых изделий Выставки «Россия»</w:t>
      </w:r>
      <w:r>
        <w:rPr>
          <w:rFonts w:ascii="Times New Roman" w:hAnsi="Times New Roman"/>
          <w:sz w:val="28"/>
          <w:szCs w:val="28"/>
          <w:highlight w:val="white"/>
        </w:rPr>
        <w:t xml:space="preserve"> – ООО «Берегиня»</w:t>
      </w:r>
      <w:r>
        <w:rPr>
          <w:rFonts w:ascii="Times New Roman" w:hAnsi="Times New Roman"/>
          <w:sz w:val="28"/>
          <w:szCs w:val="28"/>
          <w:highlight w:val="white"/>
        </w:rPr>
        <w:t xml:space="preserve"> (Натуральная таежная косметика «TAIGANICA»</w:t>
      </w:r>
      <w:r>
        <w:rPr>
          <w:rFonts w:ascii="Times New Roman" w:hAnsi="Times New Roman"/>
          <w:sz w:val="28"/>
          <w:szCs w:val="28"/>
          <w:highlight w:val="white"/>
        </w:rPr>
        <w:t xml:space="preserve">), ООО «Клевер Тех» (</w:t>
      </w:r>
      <w:r>
        <w:rPr>
          <w:rFonts w:ascii="Times New Roman" w:hAnsi="Times New Roman"/>
          <w:sz w:val="28"/>
          <w:szCs w:val="28"/>
          <w:highlight w:val="white"/>
        </w:rPr>
        <w:t xml:space="preserve">бренд одежды </w:t>
      </w:r>
      <w:r>
        <w:rPr>
          <w:rFonts w:ascii="Times New Roman" w:hAnsi="Times New Roman"/>
          <w:sz w:val="28"/>
          <w:szCs w:val="28"/>
          <w:highlight w:val="white"/>
        </w:rPr>
        <w:t xml:space="preserve">«АМ»), ИП Ставский Сергей Сергеевич (</w:t>
      </w:r>
      <w:r>
        <w:rPr>
          <w:rFonts w:ascii="Times New Roman" w:hAnsi="Times New Roman"/>
          <w:sz w:val="28"/>
          <w:szCs w:val="28"/>
          <w:highlight w:val="white"/>
        </w:rPr>
        <w:t xml:space="preserve">бренд одежды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Ёмас</w:t>
      </w:r>
      <w:r>
        <w:rPr>
          <w:rFonts w:ascii="Times New Roman" w:hAnsi="Times New Roman"/>
          <w:sz w:val="28"/>
          <w:szCs w:val="28"/>
          <w:highlight w:val="white"/>
        </w:rPr>
        <w:t xml:space="preserve">»), ИП Черкашина Алена Ивановна</w:t>
      </w:r>
      <w:r>
        <w:rPr>
          <w:rFonts w:ascii="Times New Roman" w:hAnsi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/>
          <w:sz w:val="28"/>
          <w:szCs w:val="28"/>
          <w:highlight w:val="white"/>
        </w:rPr>
        <w:t xml:space="preserve">Бренд дизайнерских аксессуаров Alena </w:t>
      </w:r>
      <w:r>
        <w:rPr>
          <w:rFonts w:ascii="Times New Roman" w:hAnsi="Times New Roman"/>
          <w:sz w:val="28"/>
          <w:szCs w:val="28"/>
          <w:highlight w:val="white"/>
        </w:rPr>
        <w:t xml:space="preserve">Cherkashina</w:t>
      </w:r>
      <w:r>
        <w:rPr>
          <w:rFonts w:ascii="Times New Roman" w:hAnsi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</w:rPr>
        <w:t xml:space="preserve">, ООО «Центр ремесел Ас </w:t>
      </w:r>
      <w:r>
        <w:rPr>
          <w:rFonts w:ascii="Times New Roman" w:hAnsi="Times New Roman"/>
          <w:sz w:val="28"/>
          <w:szCs w:val="28"/>
          <w:highlight w:val="white"/>
        </w:rPr>
        <w:t xml:space="preserve">аланг</w:t>
      </w:r>
      <w:r>
        <w:rPr>
          <w:rFonts w:ascii="Times New Roman" w:hAnsi="Times New Roman"/>
          <w:sz w:val="28"/>
          <w:szCs w:val="28"/>
          <w:highlight w:val="white"/>
        </w:rPr>
        <w:t xml:space="preserve">» (</w:t>
      </w:r>
      <w:r>
        <w:rPr>
          <w:rFonts w:ascii="Times New Roman" w:hAnsi="Times New Roman"/>
          <w:sz w:val="28"/>
          <w:szCs w:val="28"/>
          <w:highlight w:val="white"/>
        </w:rPr>
        <w:t xml:space="preserve">Югорская керамика «Ас </w:t>
      </w:r>
      <w:r>
        <w:rPr>
          <w:rFonts w:ascii="Times New Roman" w:hAnsi="Times New Roman"/>
          <w:sz w:val="28"/>
          <w:szCs w:val="28"/>
          <w:highlight w:val="white"/>
        </w:rPr>
        <w:t xml:space="preserve">Аланг</w:t>
      </w:r>
      <w:r>
        <w:rPr>
          <w:rFonts w:ascii="Times New Roman" w:hAnsi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/>
          <w:sz w:val="28"/>
          <w:szCs w:val="28"/>
          <w:highlight w:val="white"/>
        </w:rPr>
        <w:t xml:space="preserve">).</w:t>
      </w:r>
      <w:r>
        <w:rPr>
          <w:rFonts w:ascii="Times New Roman" w:hAnsi="Times New Roman"/>
          <w:sz w:val="28"/>
          <w:szCs w:val="28"/>
          <w:highlight w:val="white"/>
        </w:rPr>
        <w:t xml:space="preserve"> По завершении </w:t>
      </w:r>
      <w:r>
        <w:rPr>
          <w:rFonts w:ascii="Times New Roman" w:hAnsi="Times New Roman"/>
          <w:sz w:val="28"/>
          <w:szCs w:val="28"/>
          <w:highlight w:val="white"/>
        </w:rPr>
        <w:t xml:space="preserve">Выставки «Россия» бренд </w:t>
      </w:r>
      <w:r>
        <w:rPr>
          <w:rFonts w:ascii="Times New Roman" w:hAnsi="Times New Roman"/>
          <w:sz w:val="28"/>
          <w:szCs w:val="28"/>
          <w:highlight w:val="white"/>
        </w:rPr>
        <w:t xml:space="preserve">«TAIGANICA»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приглашен в качестве</w:t>
      </w:r>
      <w:r>
        <w:rPr>
          <w:rFonts w:ascii="Times New Roman" w:hAnsi="Times New Roman"/>
          <w:sz w:val="28"/>
          <w:szCs w:val="28"/>
          <w:highlight w:val="white"/>
        </w:rPr>
        <w:t xml:space="preserve"> постоянн</w:t>
      </w:r>
      <w:r>
        <w:rPr>
          <w:rFonts w:ascii="Times New Roman" w:hAnsi="Times New Roman"/>
          <w:sz w:val="28"/>
          <w:szCs w:val="28"/>
          <w:highlight w:val="white"/>
        </w:rPr>
        <w:t xml:space="preserve">ого</w:t>
      </w:r>
      <w:r>
        <w:rPr>
          <w:rFonts w:ascii="Times New Roman" w:hAnsi="Times New Roman"/>
          <w:sz w:val="28"/>
          <w:szCs w:val="28"/>
          <w:highlight w:val="white"/>
        </w:rPr>
        <w:t xml:space="preserve"> участник</w:t>
      </w:r>
      <w:r>
        <w:rPr>
          <w:rFonts w:ascii="Times New Roman" w:hAnsi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Универмаг</w:t>
      </w:r>
      <w:r>
        <w:rPr>
          <w:rFonts w:ascii="Times New Roman" w:hAnsi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</w:rPr>
        <w:t xml:space="preserve"> Национального центра «Россия»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highlight w:val="white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1276" w:bottom="1134" w:left="1559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5493766"/>
      <w:docPartObj>
        <w:docPartGallery w:val="Page Numbers (Top of Page)"/>
        <w:docPartUnique w:val="true"/>
      </w:docPartObj>
      <w:rPr/>
    </w:sdtPr>
    <w:sdtContent>
      <w:p>
        <w:pPr>
          <w:pStyle w:val="906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  <w:p>
    <w:pPr>
      <w:pStyle w:val="9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70" w:hanging="360"/>
      </w:pPr>
      <w:rPr>
        <w:rFonts w:hint="default" w:ascii="Times New Roman" w:hAnsi="Times New Roman" w:eastAsia="Times New Roman" w:cs="Times New Roman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1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4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7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8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9" w:default="1">
    <w:name w:val="Normal"/>
    <w:qFormat/>
  </w:style>
  <w:style w:type="paragraph" w:styleId="710">
    <w:name w:val="Heading 1"/>
    <w:basedOn w:val="709"/>
    <w:next w:val="709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6">
    <w:name w:val="Heading 7"/>
    <w:basedOn w:val="709"/>
    <w:next w:val="709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7">
    <w:name w:val="Heading 8"/>
    <w:basedOn w:val="709"/>
    <w:next w:val="709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8">
    <w:name w:val="Heading 9"/>
    <w:basedOn w:val="709"/>
    <w:next w:val="709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basedOn w:val="719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basedOn w:val="719"/>
    <w:uiPriority w:val="9"/>
    <w:rPr>
      <w:rFonts w:ascii="Arial" w:hAnsi="Arial" w:eastAsia="Arial" w:cs="Arial"/>
      <w:sz w:val="34"/>
    </w:rPr>
  </w:style>
  <w:style w:type="character" w:styleId="724" w:customStyle="1">
    <w:name w:val="Heading 3 Char"/>
    <w:basedOn w:val="719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basedOn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basedOn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basedOn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7 Char"/>
    <w:basedOn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basedOn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basedOn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Title Char"/>
    <w:basedOn w:val="719"/>
    <w:uiPriority w:val="10"/>
    <w:rPr>
      <w:sz w:val="48"/>
      <w:szCs w:val="48"/>
    </w:rPr>
  </w:style>
  <w:style w:type="character" w:styleId="732" w:customStyle="1">
    <w:name w:val="Subtitle Char"/>
    <w:basedOn w:val="719"/>
    <w:uiPriority w:val="11"/>
    <w:rPr>
      <w:sz w:val="24"/>
      <w:szCs w:val="24"/>
    </w:rPr>
  </w:style>
  <w:style w:type="character" w:styleId="733" w:customStyle="1">
    <w:name w:val="Quote Char"/>
    <w:uiPriority w:val="29"/>
    <w:rPr>
      <w:i/>
    </w:rPr>
  </w:style>
  <w:style w:type="character" w:styleId="734" w:customStyle="1">
    <w:name w:val="Intense Quote Char"/>
    <w:uiPriority w:val="30"/>
    <w:rPr>
      <w:i/>
    </w:rPr>
  </w:style>
  <w:style w:type="character" w:styleId="735" w:customStyle="1">
    <w:name w:val="Footnote Text Char"/>
    <w:uiPriority w:val="99"/>
    <w:rPr>
      <w:sz w:val="18"/>
    </w:rPr>
  </w:style>
  <w:style w:type="character" w:styleId="736" w:customStyle="1">
    <w:name w:val="Endnote Text Char"/>
    <w:uiPriority w:val="99"/>
    <w:rPr>
      <w:sz w:val="20"/>
    </w:rPr>
  </w:style>
  <w:style w:type="character" w:styleId="737" w:customStyle="1">
    <w:name w:val="Заголовок 1 Знак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Заголовок 2 Знак"/>
    <w:basedOn w:val="719"/>
    <w:link w:val="711"/>
    <w:uiPriority w:val="9"/>
    <w:rPr>
      <w:rFonts w:ascii="Arial" w:hAnsi="Arial" w:eastAsia="Arial" w:cs="Arial"/>
      <w:sz w:val="34"/>
    </w:rPr>
  </w:style>
  <w:style w:type="character" w:styleId="739" w:customStyle="1">
    <w:name w:val="Заголовок 3 Знак"/>
    <w:basedOn w:val="719"/>
    <w:link w:val="712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Заголовок 4 Знак"/>
    <w:basedOn w:val="719"/>
    <w:link w:val="713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Заголовок 5 Знак"/>
    <w:basedOn w:val="719"/>
    <w:link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Заголовок 6 Знак"/>
    <w:basedOn w:val="719"/>
    <w:link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Заголовок 7 Знак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Заголовок 8 Знак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Заголовок 9 Знак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709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after="0" w:line="240" w:lineRule="auto"/>
    </w:pPr>
  </w:style>
  <w:style w:type="paragraph" w:styleId="748">
    <w:name w:val="Title"/>
    <w:basedOn w:val="709"/>
    <w:next w:val="709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 w:customStyle="1">
    <w:name w:val="Заголовок Знак"/>
    <w:basedOn w:val="719"/>
    <w:link w:val="748"/>
    <w:uiPriority w:val="10"/>
    <w:rPr>
      <w:sz w:val="48"/>
      <w:szCs w:val="48"/>
    </w:rPr>
  </w:style>
  <w:style w:type="paragraph" w:styleId="750">
    <w:name w:val="Subtitle"/>
    <w:basedOn w:val="709"/>
    <w:next w:val="709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basedOn w:val="719"/>
    <w:link w:val="750"/>
    <w:uiPriority w:val="11"/>
    <w:rPr>
      <w:sz w:val="24"/>
      <w:szCs w:val="24"/>
    </w:rPr>
  </w:style>
  <w:style w:type="paragraph" w:styleId="752">
    <w:name w:val="Quote"/>
    <w:basedOn w:val="709"/>
    <w:next w:val="709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09"/>
    <w:next w:val="709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character" w:styleId="756" w:customStyle="1">
    <w:name w:val="Header Char"/>
    <w:basedOn w:val="719"/>
    <w:uiPriority w:val="99"/>
  </w:style>
  <w:style w:type="character" w:styleId="757" w:customStyle="1">
    <w:name w:val="Footer Char"/>
    <w:basedOn w:val="719"/>
    <w:uiPriority w:val="99"/>
  </w:style>
  <w:style w:type="paragraph" w:styleId="758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9" w:customStyle="1">
    <w:name w:val="Caption Char"/>
    <w:uiPriority w:val="99"/>
  </w:style>
  <w:style w:type="table" w:styleId="760">
    <w:name w:val="Table Grid"/>
    <w:basedOn w:val="72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1" w:customStyle="1">
    <w:name w:val="Table Grid Light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2" w:customStyle="1">
    <w:name w:val="Таблица простая 11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Таблица простая 21"/>
    <w:basedOn w:val="7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 w:customStyle="1">
    <w:name w:val="Таблица простая 3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 w:customStyle="1">
    <w:name w:val="Таблица простая 4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Таблица простая 5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 w:customStyle="1">
    <w:name w:val="Таблица-сетка 1 светлая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Таблица-сетка 2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Таблица-сетка 3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Таблица-сетка 41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0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1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2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3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4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5" w:customStyle="1">
    <w:name w:val="Таблица-сетка 5 темная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2" w:customStyle="1">
    <w:name w:val="Таблица-сетка 6 цветная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4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5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6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7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8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9" w:customStyle="1">
    <w:name w:val="Таблица-сетка 7 цветная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Список-таблица 1 светлая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Список-таблица 2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0" w:customStyle="1">
    <w:name w:val="Список-таблица 3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Список-таблица 4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Список-таблица 5 темная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Список-таблица 6 цветная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3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4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5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6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7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8" w:customStyle="1">
    <w:name w:val="Список-таблица 7 цветная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7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8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9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0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1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2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4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5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6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7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8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9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1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2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3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4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5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563c1" w:themeColor="hyperlink"/>
      <w:u w:val="single"/>
    </w:rPr>
  </w:style>
  <w:style w:type="paragraph" w:styleId="887">
    <w:name w:val="footnote text"/>
    <w:basedOn w:val="709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 w:customStyle="1">
    <w:name w:val="Текст сноски Знак"/>
    <w:link w:val="887"/>
    <w:uiPriority w:val="99"/>
    <w:rPr>
      <w:sz w:val="18"/>
    </w:rPr>
  </w:style>
  <w:style w:type="character" w:styleId="889">
    <w:name w:val="footnote reference"/>
    <w:basedOn w:val="719"/>
    <w:uiPriority w:val="99"/>
    <w:unhideWhenUsed/>
    <w:rPr>
      <w:vertAlign w:val="superscript"/>
    </w:rPr>
  </w:style>
  <w:style w:type="paragraph" w:styleId="890">
    <w:name w:val="endnote text"/>
    <w:basedOn w:val="709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character" w:styleId="892">
    <w:name w:val="endnote reference"/>
    <w:basedOn w:val="719"/>
    <w:uiPriority w:val="99"/>
    <w:semiHidden/>
    <w:unhideWhenUsed/>
    <w:rPr>
      <w:vertAlign w:val="superscript"/>
    </w:rPr>
  </w:style>
  <w:style w:type="paragraph" w:styleId="893">
    <w:name w:val="toc 1"/>
    <w:basedOn w:val="709"/>
    <w:next w:val="709"/>
    <w:uiPriority w:val="39"/>
    <w:unhideWhenUsed/>
    <w:pPr>
      <w:spacing w:after="57"/>
    </w:pPr>
  </w:style>
  <w:style w:type="paragraph" w:styleId="894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95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96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97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98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99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900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901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709"/>
    <w:next w:val="709"/>
    <w:uiPriority w:val="99"/>
    <w:unhideWhenUsed/>
    <w:pPr>
      <w:spacing w:after="0"/>
    </w:pPr>
  </w:style>
  <w:style w:type="paragraph" w:styleId="90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0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6">
    <w:name w:val="Header"/>
    <w:basedOn w:val="709"/>
    <w:link w:val="90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7" w:customStyle="1">
    <w:name w:val="Верхний колонтитул Знак"/>
    <w:basedOn w:val="719"/>
    <w:link w:val="906"/>
    <w:uiPriority w:val="99"/>
  </w:style>
  <w:style w:type="paragraph" w:styleId="908">
    <w:name w:val="Footer"/>
    <w:basedOn w:val="709"/>
    <w:link w:val="90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9" w:customStyle="1">
    <w:name w:val="Нижний колонтитул Знак"/>
    <w:basedOn w:val="719"/>
    <w:link w:val="908"/>
    <w:uiPriority w:val="99"/>
  </w:style>
  <w:style w:type="character" w:styleId="910">
    <w:name w:val="Unresolved Mention"/>
    <w:basedOn w:val="719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5BB21-A7B2-4CE9-BE7D-0AD9DCF4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Малюгина Ольга Александровна</dc:creator>
  <cp:revision>12</cp:revision>
  <dcterms:created xsi:type="dcterms:W3CDTF">2025-05-30T05:38:00Z</dcterms:created>
  <dcterms:modified xsi:type="dcterms:W3CDTF">2025-07-01T13:10:19Z</dcterms:modified>
</cp:coreProperties>
</file>