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Приложение 19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 постановлению Правительства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Ханты-Мансийского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автономного округа - Югры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от 5 октября 2018 года N 344-п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4947"/>
      <w:bookmarkEnd w:id="0"/>
      <w:r w:rsidRPr="00303147">
        <w:rPr>
          <w:rFonts w:ascii="Calibri" w:eastAsia="Times New Roman" w:hAnsi="Calibri" w:cs="Calibri"/>
          <w:b/>
          <w:szCs w:val="20"/>
          <w:lang w:eastAsia="ru-RU"/>
        </w:rPr>
        <w:t>ПОРЯДОК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03147">
        <w:rPr>
          <w:rFonts w:ascii="Calibri" w:eastAsia="Times New Roman" w:hAnsi="Calibri" w:cs="Calibri"/>
          <w:b/>
          <w:szCs w:val="20"/>
          <w:lang w:eastAsia="ru-RU"/>
        </w:rPr>
        <w:t>РАСЧЕТА И ПРЕДОСТАВЛЕНИЯ СУБСИДИЙ НА ПОДДЕРЖКУ МАЛЫХ ФОРМ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b/>
          <w:szCs w:val="20"/>
          <w:lang w:eastAsia="ru-RU"/>
        </w:rPr>
        <w:t>ХОЗЯЙСТВОВАНИЯ, НА РАЗВИТИЕ МАТЕРИАЛЬНО-ТЕХНИЧЕСКОЙ БАЗЫ (ЗА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b/>
          <w:szCs w:val="20"/>
          <w:lang w:eastAsia="ru-RU"/>
        </w:rPr>
        <w:t>ИСКЛЮЧЕНИЕМ ЛИЧНЫХ ПОДСОБНЫХ ХОЗЯЙСТВ) (ДАЛЕЕ - ПОРЯДОК)</w:t>
      </w:r>
      <w:proofErr w:type="gramEnd"/>
    </w:p>
    <w:p w:rsidR="00303147" w:rsidRPr="00303147" w:rsidRDefault="00303147" w:rsidP="00303147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3147" w:rsidRPr="00303147" w:rsidTr="00D049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147" w:rsidRPr="00303147" w:rsidRDefault="00303147" w:rsidP="00303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03147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303147" w:rsidRPr="00303147" w:rsidRDefault="00303147" w:rsidP="00303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03147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(</w:t>
            </w:r>
            <w:proofErr w:type="gramStart"/>
            <w:r w:rsidRPr="00303147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введен</w:t>
            </w:r>
            <w:proofErr w:type="gramEnd"/>
            <w:r w:rsidRPr="00303147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 </w:t>
            </w:r>
            <w:hyperlink r:id="rId5" w:history="1">
              <w:r w:rsidRPr="00303147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постановлением</w:t>
              </w:r>
            </w:hyperlink>
            <w:r w:rsidRPr="00303147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 Правительства ХМАО - Югры от 08.02.2019 N 31-п;</w:t>
            </w:r>
          </w:p>
          <w:p w:rsidR="00303147" w:rsidRPr="00303147" w:rsidRDefault="00303147" w:rsidP="00303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03147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в ред. </w:t>
            </w:r>
            <w:hyperlink r:id="rId6" w:history="1">
              <w:r w:rsidRPr="00303147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постановления</w:t>
              </w:r>
            </w:hyperlink>
            <w:r w:rsidRPr="00303147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 Правительства ХМАО - Югры от 26.04.2019 N 137-п)</w:t>
            </w:r>
          </w:p>
        </w:tc>
      </w:tr>
    </w:tbl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303147">
        <w:rPr>
          <w:rFonts w:ascii="Calibri" w:eastAsia="Times New Roman" w:hAnsi="Calibri" w:cs="Calibri"/>
          <w:b/>
          <w:szCs w:val="20"/>
          <w:lang w:eastAsia="ru-RU"/>
        </w:rPr>
        <w:t>I. Условия предоставления и размер субсидий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1.1.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 xml:space="preserve">Порядок определяет правила расчета и предоставления субсидий для реализации мероприятия 2.3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 </w:t>
      </w:r>
      <w:hyperlink w:anchor="P645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подпрограммы 2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"Развитие отрасли животноводства" на поддержку малых форм хозяйствования, на развитие материально-технической базы (за исключением личных подсобных хозяйств) (далее - субсидии) из бюджетов муниципальных образований за счет субвенций из бюджета автономного округа.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4958"/>
      <w:bookmarkEnd w:id="1"/>
      <w:r w:rsidRPr="00303147">
        <w:rPr>
          <w:rFonts w:ascii="Calibri" w:eastAsia="Times New Roman" w:hAnsi="Calibri" w:cs="Calibri"/>
          <w:szCs w:val="20"/>
          <w:lang w:eastAsia="ru-RU"/>
        </w:rPr>
        <w:t>1.2. Субсидии предоставляются органами местного самоуправления муниципальных образований автономного округа (далее - Уполномоченный орган) с целью возмещения части затрат (недополученных доходов) по следующим направлениям: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приобретение сельскохозяйственной техники из перечня, утвержденного Департаментом промышленности автономного округа (далее - Департамент) и (или) соответствующей </w:t>
      </w:r>
      <w:hyperlink r:id="rId7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требованиям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>, установленным постановлением Правительства Российской Федерации от 17 июля 2015 года N 719 "О подтверждении производства промышленной продукции на территории Российской Федерации", оборудования, средств механизации и автоматизации сельскохозяйственных производств;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приобретение оборудования для перерабатывающих производств сельскохозяйственной продукции;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приобретение мобильных высокотехнологичных убойных пунктов,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</w:t>
      </w: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сырья (субпродуктов, крови, рогов, кожевенного и другого технического сырья)) (для юридических лиц - оленеводческих организаций).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4965"/>
      <w:bookmarkEnd w:id="2"/>
      <w:r w:rsidRPr="00303147">
        <w:rPr>
          <w:rFonts w:ascii="Calibri" w:eastAsia="Times New Roman" w:hAnsi="Calibri" w:cs="Calibri"/>
          <w:szCs w:val="20"/>
          <w:lang w:eastAsia="ru-RU"/>
        </w:rPr>
        <w:t xml:space="preserve">1.3.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Субсидии предоставляются сельскохозяйственным товаропроизводителям: крестьянским (фермерским) хозяйствам; сельскохозяйственным потребительским и производственным кооперативам; индивидуальным предпринимателям; юридическим лицам независимо от организационно-правовых форм - оленеводческим организациям, племенным организациям (далее - Получатели).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Юридическим лицам независимо от организационно-правовых форм - оленеводческим организациям субсидии предоставляются на приобретение мобильных высокотехнологичных убойных пунктов, с целью сбора эндокринно-ферментного и специального сырья при убое оленей.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В целях предоставления субсидии применяются следующие понятия: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сельскохозяйственный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зеленых культур -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общая полезная площадь - не менее 650 метров квадратных (для животноводческих объектов и теплиц круглогодичного выращивания овощных и зеленых культур);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действующих механизированных или автоматизированных систем поения и кормления сельскохозяйственных животных, уборки навоза (для животноводческих объектов), управления микроклиматом при подключении к электроснабжению, водоснабжению, системе канализации или утилизации навоза (для животноводческих объектов);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действующей механизированной или автоматизированной системы доения (для крупного или мелкого рогатого скота молочной специализации) при подключении к электроснабжению, водоснабжению;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действующих механизированных или автоматизированных систем управления микроклиматом при подключении к электроснабжению (для овощехранилищ (картофелехранилищ));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действующих автоматизированных систем полива и подкормки, управления микроклиматом при подключении к электроснабжению, водоснабжению (для теплиц круглогодичного выращивания овощных и зеленых культур);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вместимость не менее 50 тонн продукции (для овощехранилищ (картофелехранилищ)).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Объект перерабатывающих производств сельскохозяйственной продукции -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 - не менее 10 единиц;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общая полезная площадь - не менее 150 метров квадратных;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действующего санитарно-эпидемиологического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Мобильный высокотехнологичный убойный пункт, с целью сбора эндокринно-ферментного и специального сырья при убое оленей: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действующих механизированных или автоматизированных систем, предназначенных для убоя оленей на месте их выращивания;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оборудования для сбора и хранения эндокринно-ферментного и специального сырья.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Модернизация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1.4.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Субсидии предоставляются в размере 50 процентов от произведенных фактических затрат, но не более 3000 тыс. рублей на один объект капитального строительства, электроснабжения, водоснабжения, газоснабжения, их модернизации; не более 3000 тыс. рублей на один мобильный высокотехнологичный убойный пункт, с целью сбора эндокринно-ферментного и специального сырья при убое оленей - для юридических лиц - оленеводческих организаций;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не более 1000 тыс. рублей на приобретение одного комплекта сельскохозяйственного оборудования, одной единицы или одного комплекта оборудования для перерабатывающих производств сельскохозяйственной продукции; не более 500 тыс. рублей на приобретение одной единицы сельскохозяйственной техники, средств механизации, автоматизации сельскохозяйственных производств.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8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постановления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Правительства ХМАО - Югры от 26.04.2019 N 137-п)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Предоставленная субсидия не может быть использована Получателем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1.5. Объем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субсидий, предоставляемых Уполномоченным органом в текущем финансовом году каждому Получателю рассчитывается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по формуле: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noProof/>
          <w:position w:val="-22"/>
          <w:szCs w:val="20"/>
          <w:lang w:eastAsia="ru-RU"/>
        </w:rPr>
        <w:drawing>
          <wp:inline distT="0" distB="0" distL="0" distR="0">
            <wp:extent cx="1479550" cy="431800"/>
            <wp:effectExtent l="0" t="0" r="6350" b="6350"/>
            <wp:docPr id="1" name="Рисунок 1" descr="base_24478_20010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00104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spellStart"/>
      <w:r w:rsidRPr="00303147">
        <w:rPr>
          <w:rFonts w:ascii="Calibri" w:eastAsia="Times New Roman" w:hAnsi="Calibri" w:cs="Calibri"/>
          <w:szCs w:val="20"/>
          <w:lang w:eastAsia="ru-RU"/>
        </w:rPr>
        <w:t>Vi</w:t>
      </w:r>
      <w:proofErr w:type="spell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- объем субсидий на поддержку малых форм хозяйствования в текущем финансовом году, предоставляемых Уполномоченным органом для отдельного Получателя;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spellStart"/>
      <w:r w:rsidRPr="00303147">
        <w:rPr>
          <w:rFonts w:ascii="Calibri" w:eastAsia="Times New Roman" w:hAnsi="Calibri" w:cs="Calibri"/>
          <w:szCs w:val="20"/>
          <w:lang w:eastAsia="ru-RU"/>
        </w:rPr>
        <w:t>Vis</w:t>
      </w:r>
      <w:proofErr w:type="spell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- объем субсидий на поддержку малых форм хозяйствования в текущем финансовом году на основании заявления отдельного Получателя;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spellStart"/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V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>моs</w:t>
      </w:r>
      <w:proofErr w:type="spell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- общий объем субсидий на поддержку малых форм хозяйствования в текущем финансовом году на основании заявлений всех Получателей отдельного муниципального образования;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spellStart"/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V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>мо</w:t>
      </w:r>
      <w:proofErr w:type="spell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малых форм хозяйствования.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1.6. 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1.7. Соглашение заключается по форме, установленной финансовым органом муниципального образования автономного округа.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1.8. Соглашение должно содержать следующие положения: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годовой размер предоставляемой субсидии в текущем году;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значения показателей результативности использования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направления расходования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обязательство Получателя о целевом использовании построенного, приобретенного, модернизированного объекта капитального строительства, объекта электроснабжения, водоснабжения, газоснабжения, техники и оборудования в течение первых 5 лет;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согласие Получателя на осуществление Уполномоченным органом и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порядок контроля соблюдения Получателем условий Соглашения;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порядок, сроки и состав отчетности Получателя об использовании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расчет размера штрафных санкций;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План контрольных мероприятий.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1.9. Уполномоченный орган формирует единый список Получателей субсидий на текущий год в хронологической последовательности, в соответствии с датой и временем регистрации заявлений.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1.10.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" w:name="P5009"/>
      <w:bookmarkEnd w:id="3"/>
      <w:r w:rsidRPr="00303147">
        <w:rPr>
          <w:rFonts w:ascii="Calibri" w:eastAsia="Times New Roman" w:hAnsi="Calibri" w:cs="Calibri"/>
          <w:szCs w:val="20"/>
          <w:lang w:eastAsia="ru-RU"/>
        </w:rPr>
        <w:t>1.11. Требования, которым должны соответствовать Получатели на 15 число месяца, предшествующего месяцу регистрации заявления о предоставлении субсидии: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отсутствие просроченной задолженности по возврату в бюджет автономного округа, субсидий, бюджетных инвестиций,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предоставленных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бюджетной системы </w:t>
      </w: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Российской Федерации, из которого планируется предоставление субсидии в соответствии с Порядком;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Получатели - юридические лица не должны находиться в процессе реорганизации, ликвидации, банкротства,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отношении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таких юридических лиц, в совокупности превышает 50 процентов;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Получатели не должны получать средства из бюджета автономного округа, на основании иных нормативных правовых актов или муниципальных правовых актов на цели, указанные в </w:t>
      </w:r>
      <w:hyperlink w:anchor="P4958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1.2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наполняемость имеющихся животноводческих помещений (зданий, сооружений) сельскохозяйственными животными (птицей) соответствующего вида менее 90 процентов расчетной вместимости (при предоставлении государственной поддержки на капитальное строительство и модернизацию животноводческих сельскохозяйственных объектов).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" w:name="P5016"/>
      <w:bookmarkEnd w:id="4"/>
      <w:r w:rsidRPr="00303147">
        <w:rPr>
          <w:rFonts w:ascii="Calibri" w:eastAsia="Times New Roman" w:hAnsi="Calibri" w:cs="Calibri"/>
          <w:szCs w:val="20"/>
          <w:lang w:eastAsia="ru-RU"/>
        </w:rPr>
        <w:t>1.12. Критерии отбора Получателей: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регистрация и осуществление Получателем деятельности в автономном округе 12 и более месяцев;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проведение ежегодной обязательной вакцинации и ветеринарных обработок имеющегося поголовья сельскохозяйственных животных (за исключением организаций, осуществляющих деятельность в сфере растениеводства и производства рыбной отрасли);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наличие поголовья сельскохозяйственных животных (за исключением организаций, осуществляющих деятельность в сфере растениеводства и рыбной отрасли продукции).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303147">
        <w:rPr>
          <w:rFonts w:ascii="Calibri" w:eastAsia="Times New Roman" w:hAnsi="Calibri" w:cs="Calibri"/>
          <w:b/>
          <w:szCs w:val="20"/>
          <w:lang w:eastAsia="ru-RU"/>
        </w:rPr>
        <w:t>II. Правила предоставления субсидии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5023"/>
      <w:bookmarkEnd w:id="5"/>
      <w:r w:rsidRPr="00303147">
        <w:rPr>
          <w:rFonts w:ascii="Calibri" w:eastAsia="Times New Roman" w:hAnsi="Calibri" w:cs="Calibri"/>
          <w:szCs w:val="20"/>
          <w:lang w:eastAsia="ru-RU"/>
        </w:rPr>
        <w:t>2.1. Получатели представляют в Уполномоченный орган: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6" w:name="P5024"/>
      <w:bookmarkEnd w:id="6"/>
      <w:r w:rsidRPr="00303147">
        <w:rPr>
          <w:rFonts w:ascii="Calibri" w:eastAsia="Times New Roman" w:hAnsi="Calibri" w:cs="Calibri"/>
          <w:szCs w:val="20"/>
          <w:lang w:eastAsia="ru-RU"/>
        </w:rPr>
        <w:t xml:space="preserve">2.1.1.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а) при выполнении работ подрядным способом: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заявление о предоставлении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реквизиты банковского счета Получателя;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справку-расчет о движении поголовья сельскохозяйственных животных по форме, утвержденной Департаментом (при наличии поголовья сельскохозяйственных животных и (или) птицы);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копии договоров на выполнение проектно-изыскательских работ, строительно-монтажных работ;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копию проектно-сметной документации;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копии актов о приемке выполненных работ (форма КС-2);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копии справок о стоимости выполненных работ и затрат (форма КС-3);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копии документов, подтверждающих оплату выполненных работ;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копии документов, подтверждающих членство в саморегулирующей организации строителей подрядчика, выполнившего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с допуском к видам выполненных работ;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б) при выполнении работ собственными силами: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заявление о предоставлении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реквизиты банковского счета Получателя;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справку-расчет о движении поголовья сельскохозяйственных животных по форме, утвержденной Департаментом (при наличии поголовья сельскохозяйственных животных и (или) птицы);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</w:t>
      </w: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расходы и плановые накопления в стоимость работ не включаются и не оплачиваются);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7" w:name="P5045"/>
      <w:bookmarkEnd w:id="7"/>
      <w:r w:rsidRPr="00303147">
        <w:rPr>
          <w:rFonts w:ascii="Calibri" w:eastAsia="Times New Roman" w:hAnsi="Calibri" w:cs="Calibri"/>
          <w:szCs w:val="20"/>
          <w:lang w:eastAsia="ru-RU"/>
        </w:rPr>
        <w:t>2.1.2.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пунктов, с целью сбора эндокринно-ферментного и специального сырья при убое оленей: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заявление о предоставлении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реквизиты банковского счета Получателя;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справку-расчет о движении поголовья сельскохозяйственных животных по формам, утвержденным Департаментом (при наличии поголовья сельскохозяйственных животных и (или) птицы);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копию паспорта транспортного средства (для транспортных средств);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копию свидетельства о регистрации ТС (для транспортных средств).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8" w:name="P5054"/>
      <w:bookmarkEnd w:id="8"/>
      <w:r w:rsidRPr="00303147">
        <w:rPr>
          <w:rFonts w:ascii="Calibri" w:eastAsia="Times New Roman" w:hAnsi="Calibri" w:cs="Calibri"/>
          <w:szCs w:val="20"/>
          <w:lang w:eastAsia="ru-RU"/>
        </w:rPr>
        <w:t xml:space="preserve">2.2. Уполномоченный орган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10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от 27 июля 2010 года N 210-ФЗ "Об организации предоставления государственных и муниципальных услуг", по необходимости, следующие документы: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документы об отсутствии задолженности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сведения о государственной регистрации права собственности на построенный или модернизированный объект;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сведения о вводе объекта в эксплуатацию (при необходимости - в соответствии с действующим законодательством);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документы, подтверждающие отсутствие просроченной задолженности по возврату в бюджет автономного округа, субсидий, бюджетных инвестиций,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предоставленных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бюджетной системы Российской Федерации, из которого планируется предоставление субсидии в соответствии с Порядком;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документы, подтверждающие проведение ежегодной обязательной вакцинации и ветеринарных обработок имеющегося поголовья сельскохозяйственных животных (для Получателей, имеющих в наличии поголовье сельскохозяйственных животных и птицы);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документы, подтверждающие отсутствие выплат средств бюджета автономного округа, на основании иных нормативных правовых актов или муниципальных правовых актов на цели, указанные в </w:t>
      </w:r>
      <w:hyperlink w:anchor="P4958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1.2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документы, подтверждающие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 (при предоставлении государственной поддержки на капитальное строительство и модернизацию животноводческих сельскохозяйственных объектов).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Указанные документы могут быть представлены Получателем самостоятельно в день подачи заявления на предоставление субсидии.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2.3. Требовать от Получателя представления документов (копий документов), не предусмотренных Порядком, не допускается.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2.4. Документы (копии документов), предусмотренные в </w:t>
      </w:r>
      <w:hyperlink w:anchor="P5023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2.1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Порядка, представляются в Уполномоченный орган одним из следующих способов: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1)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сформированными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  <w:proofErr w:type="gramEnd"/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2) через многофункциональный центр предоставления государственных и муниципальных услуг (далее - многофункциональный центр) -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сформированными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документам. Порядок передачи многофункциональным центром принятых заявлений и документов в Уполномоченный орган определяется соглашением, заключенным между Уполномоченным органом и многофункциональным центром;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3) в электронной форме - подписанные усиленной квалифицированной электронной подписью на адрес электронной почты Уполномоченного органа, или с использованием федеральной государственной информационной системы "Единый портал государственных и муниципальных услуг (функций)" региональной информационной системы "Портал государственных и муниципальных услуг Ханты-Мансийского автономного округа - Югры".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2.5. Уполномоченный орган в течение 5 рабочих дней со дня получения документов, указанных в </w:t>
      </w:r>
      <w:hyperlink w:anchor="P5024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2.1.1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5045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2.1.2 пункта 2.1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Порядка,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осуществляет их проверку на предмет достоверности сведений и направляет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поступившие документы на рассмотрение комиссии по предоставлению государственной поддержки сельскохозяйственным товаропроизводителям, действующей при Уполномоченном органе (далее - комиссия). Положение о комиссии и ее состав утверждаются правовым актом Уполномоченного органа. Комиссией в течение 3 рабочих дней со дня поступления на ее рассмотрение документов, указанных в </w:t>
      </w:r>
      <w:hyperlink w:anchor="P5024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2.1.1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5045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2.1.2 пункта 2.1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5054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2.2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Порядка, принимается одно из следующих решений: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о предоставлении субсидии;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об отказе в предоставлении субсидии.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Решение оформляется протоколом заседания комиссии.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В случае выявления противоречий по содержанию между документами, в том числе по обстоятельствам и фактам, указанным в них (сведения, цифровые данные и показатели по деятельности) (далее - выявление противоречий), Уполномоченный орган в течение 3 рабочих дней, с момента их выявления обращается с письменным либо устным запросом к Получателю, в соответствующие государственные органы, органы местного самоуправления и организации, в том числе с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выездом к месту нахождения Получателя. В связи с указанными обстоятельствами срок рассмотрения заявления о предоставлении субсидии может быть продлен до 20 рабочих дней. Все материалы по выявленным и устраненным противоречиям, уточнениям прилагаются к материалам заявления Получателя. Выявление противоречий,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в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представленных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Получателем документов, осуществляется Уполномоченным органом в период осуществления их проверки на предмет достоверности, а также в ходе рассмотрения комиссией.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9" w:name="P5074"/>
      <w:bookmarkEnd w:id="9"/>
      <w:r w:rsidRPr="00303147">
        <w:rPr>
          <w:rFonts w:ascii="Calibri" w:eastAsia="Times New Roman" w:hAnsi="Calibri" w:cs="Calibri"/>
          <w:szCs w:val="20"/>
          <w:lang w:eastAsia="ru-RU"/>
        </w:rPr>
        <w:t>2.6. В случае принятия решения о предоставлении субсидии Уполномоченный орган в течение 3 рабочих дней со дня принятия решения направляет Получателю подписанное со стороны Уполномоченного органа Соглашение (дополнительное соглашение - применяется при наличии действующего Соглашения) для его подписания лично или посредством почтового отправления.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Получатель в течение 5 рабочих дней </w:t>
      </w:r>
      <w:proofErr w:type="gramStart"/>
      <w:r w:rsidRPr="00303147">
        <w:rPr>
          <w:rFonts w:ascii="Calibri" w:eastAsia="Times New Roman" w:hAnsi="Calibri" w:cs="Calibri"/>
          <w:szCs w:val="20"/>
          <w:lang w:eastAsia="ru-RU"/>
        </w:rPr>
        <w:t>с даты получения</w:t>
      </w:r>
      <w:proofErr w:type="gram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2.7. В случае принятия решения об отказе в предоставлении субсидии Уполномоченный орган в течение 3 рабочих дней со дня его принятия направляет Получателю уведомление об отказе в предоставлении субсидии с указанием причин отказа (далее - Уведомление).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Уведомление направляется (вручается) Получателю одним из следующих способов: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почтовым отправлением;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в форме электронного документа, подписанного усиленной электронной цифровой подписью, посредством электронной почты;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вручается лично при обращении в Уполномоченный орган.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0" w:name="P5081"/>
      <w:bookmarkEnd w:id="10"/>
      <w:r w:rsidRPr="00303147">
        <w:rPr>
          <w:rFonts w:ascii="Calibri" w:eastAsia="Times New Roman" w:hAnsi="Calibri" w:cs="Calibri"/>
          <w:szCs w:val="20"/>
          <w:lang w:eastAsia="ru-RU"/>
        </w:rPr>
        <w:t>2.8. Основаниями для отказа в предоставлении субсидии являются: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отсутствие лимитов, предусмотренных для предоставления субсидий в бюджете автономного округа;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непредставление Получателем документов, указанных в </w:t>
      </w:r>
      <w:hyperlink w:anchor="P5024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подпунктах 2.1.1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5045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2.1.2 пункта 2.1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5074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2.6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представление документов с нарушением требований к их оформлению;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выявление в представленных документах сведений, не соответствующих действительности;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несоответствие Получателя требованиям, установленным </w:t>
      </w:r>
      <w:hyperlink w:anchor="P4965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пунктами 1.3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5009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1.11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5016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1.12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предоставление Получателю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год изготовления и (или) начала эксплуатации приобретенных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продукции, объектов электроснабжения, водоснабжения, газоснабжения, обеспечивающих производство и (или) переработку сельскохозяйственной продукции.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2.9. В случае отсутствия оснований, предусмотренных в </w:t>
      </w:r>
      <w:hyperlink w:anchor="P5081" w:history="1">
        <w:r w:rsidRPr="00303147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2.8</w:t>
        </w:r>
      </w:hyperlink>
      <w:r w:rsidRPr="00303147">
        <w:rPr>
          <w:rFonts w:ascii="Calibri" w:eastAsia="Times New Roman" w:hAnsi="Calibri" w:cs="Calibri"/>
          <w:szCs w:val="20"/>
          <w:lang w:eastAsia="ru-RU"/>
        </w:rPr>
        <w:t xml:space="preserve"> Порядка, Уполномоченный орган осуществляет перечисление субсидии Получателю в пределах утвержденных бюджетных ассигнований. Перечисление средств осуществляется в порядке, сроки и на счета, установленные Соглашением.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2.10. Уполномоченный орган может перераспределять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2.11. Уполномоченный орган совместно с органами муниципального финансового контроля осуществляет обязательную проверку соблюдения Получателем целей, условий и порядка предоставления субсидии, согласно Плану контрольных мероприятий, являющемуся неотъемлемой частью Соглашения.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  <w:lang w:eastAsia="ru-RU"/>
        </w:rPr>
      </w:pPr>
      <w:r w:rsidRPr="00303147">
        <w:rPr>
          <w:rFonts w:ascii="Calibri" w:eastAsia="Times New Roman" w:hAnsi="Calibri" w:cs="Calibri"/>
          <w:b/>
          <w:szCs w:val="20"/>
          <w:lang w:eastAsia="ru-RU"/>
        </w:rPr>
        <w:t>III. Правила возврата субсидии в случае нарушения условий,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03147">
        <w:rPr>
          <w:rFonts w:ascii="Calibri" w:eastAsia="Times New Roman" w:hAnsi="Calibri" w:cs="Calibri"/>
          <w:b/>
          <w:szCs w:val="20"/>
          <w:lang w:eastAsia="ru-RU"/>
        </w:rPr>
        <w:t>установленных</w:t>
      </w:r>
      <w:proofErr w:type="gramEnd"/>
      <w:r w:rsidRPr="00303147">
        <w:rPr>
          <w:rFonts w:ascii="Calibri" w:eastAsia="Times New Roman" w:hAnsi="Calibri" w:cs="Calibri"/>
          <w:b/>
          <w:szCs w:val="20"/>
          <w:lang w:eastAsia="ru-RU"/>
        </w:rPr>
        <w:t xml:space="preserve"> при ее предоставлении</w:t>
      </w: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3147" w:rsidRPr="00303147" w:rsidRDefault="00303147" w:rsidP="003031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3.1. В случае нарушения Получателем условий и целей, установленных при предоставлении субсидий, выявленного по фактам проверок, проведенных Департаментом и уполномоченным органом государственного финансового контроля: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3.1.1. Уполномоченный орган в течение 5 рабочих дней с момента выявления нарушения Получателем условий и целей, установленных при предоставлении субсидий, направляет Получателю письменное уведомление о необходимости возврата субсидии (далее - уведомление).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3.1.2. Получатель в течение 30 рабочих дней со дня получения уведомления обязан выполнить требования, указанные в нем.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3.1.3.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 xml:space="preserve">3.2. В случае выявления факта </w:t>
      </w:r>
      <w:proofErr w:type="spellStart"/>
      <w:r w:rsidRPr="00303147">
        <w:rPr>
          <w:rFonts w:ascii="Calibri" w:eastAsia="Times New Roman" w:hAnsi="Calibri" w:cs="Calibri"/>
          <w:szCs w:val="20"/>
          <w:lang w:eastAsia="ru-RU"/>
        </w:rPr>
        <w:t>недостижения</w:t>
      </w:r>
      <w:proofErr w:type="spellEnd"/>
      <w:r w:rsidRPr="00303147">
        <w:rPr>
          <w:rFonts w:ascii="Calibri" w:eastAsia="Times New Roman" w:hAnsi="Calibri" w:cs="Calibri"/>
          <w:szCs w:val="20"/>
          <w:lang w:eastAsia="ru-RU"/>
        </w:rPr>
        <w:t xml:space="preserve"> показателей результативности использования субсидии, установленных Соглашением: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3.2.1.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Расчет суммы штрафа осуществляется по форме, установленной Соглашением.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lastRenderedPageBreak/>
        <w:t>3.2.2. При неоплате Получателем начисленного штрафа в установленный требованием срок Уполномоченный орган обращается в суд в соответствии с законодательством Российской Федерации.</w:t>
      </w:r>
    </w:p>
    <w:p w:rsidR="00303147" w:rsidRPr="00303147" w:rsidRDefault="00303147" w:rsidP="003031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03147">
        <w:rPr>
          <w:rFonts w:ascii="Calibri" w:eastAsia="Times New Roman" w:hAnsi="Calibri" w:cs="Calibri"/>
          <w:szCs w:val="20"/>
          <w:lang w:eastAsia="ru-RU"/>
        </w:rPr>
        <w:t>3.3. Ответственность за достоверность фактических показателей, сведений в представленных документах несет Получатель.</w:t>
      </w:r>
    </w:p>
    <w:p w:rsidR="00DF4A6C" w:rsidRDefault="00DF4A6C">
      <w:bookmarkStart w:id="11" w:name="_GoBack"/>
      <w:bookmarkEnd w:id="11"/>
    </w:p>
    <w:sectPr w:rsidR="00DF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47"/>
    <w:rsid w:val="00303147"/>
    <w:rsid w:val="00D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292E761574EE788D9BBD85AAE175A3323841258B2EA434C3B5BD7A9BAE9884C099FB47A49FFEA8D925D750563C3A2CC8C32D3CAAC5FDD2D2F930u9s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D292E761574EE788D85B093C6B67AA63A6545258324F16997B3EA25CBA8CDC4809FAE04E192F9A9D379871408656A6183CF2D2BB6C4FDuCs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D292E761574EE788D9BBD85AAE175A3323841258B2EA434C3B5BD7A9BAE9884C099FB47A49FFEA8D925D750563C3A2CC8C32D3CAAC5FDD2D2F930u9s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1DD292E761574EE788D9BBD85AAE175A3323841258A29A031C4B5BD7A9BAE9884C099FB47A49FFEA8DB24D756563C3A2CC8C32D3CAAC5FDD2D2F930u9sDF" TargetMode="External"/><Relationship Id="rId10" Type="http://schemas.openxmlformats.org/officeDocument/2006/relationships/hyperlink" Target="consultantplus://offline/ref=31DD292E761574EE788D85B093C6B67AA63B6749268024F16997B3EA25CBA8CDD680C7A205E98CFEA9C62FD651u5s4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Дашко</dc:creator>
  <cp:lastModifiedBy>Анастасия Дашко</cp:lastModifiedBy>
  <cp:revision>1</cp:revision>
  <dcterms:created xsi:type="dcterms:W3CDTF">2019-11-29T13:22:00Z</dcterms:created>
  <dcterms:modified xsi:type="dcterms:W3CDTF">2019-11-29T13:22:00Z</dcterms:modified>
</cp:coreProperties>
</file>