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spacing w:after="0" w:line="240" w:lineRule="auto"/>
        <w:widowControl w:val="off"/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right"/>
        <w:spacing w:after="0" w:line="240" w:lineRule="auto"/>
        <w:widowControl w:val="off"/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 протоколу № 98/71 совместного заседания 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right"/>
        <w:spacing w:after="0" w:line="240" w:lineRule="auto"/>
        <w:widowControl w:val="off"/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Совета при Правительстве Ханты-Мансийского 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right"/>
        <w:spacing w:after="0" w:line="240" w:lineRule="auto"/>
        <w:widowControl w:val="off"/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автономного округа – Югры по вопросам развития 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right"/>
        <w:spacing w:after="0" w:line="240" w:lineRule="auto"/>
        <w:widowControl w:val="off"/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инвестиционной деятельности в Ханты-Мансийском 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right"/>
        <w:spacing w:after="0" w:line="240" w:lineRule="auto"/>
        <w:widowControl w:val="off"/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автономном округе – Югре и Совета по развитию 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right"/>
        <w:spacing w:after="0" w:line="240" w:lineRule="auto"/>
        <w:widowControl w:val="off"/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малого и среднего предпринимательства 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 Ханты-Мансийском автономном округе – Югре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color w:val="0070c0"/>
          <w:highlight w:val="white"/>
        </w:rPr>
      </w:pPr>
      <w:r>
        <w:rPr>
          <w:rFonts w:ascii="Times New Roman" w:hAnsi="Times New Roman"/>
          <w:color w:val="0070c0"/>
          <w:highlight w:val="white"/>
        </w:rPr>
      </w:r>
      <w:r>
        <w:rPr>
          <w:rFonts w:ascii="Times New Roman" w:hAnsi="Times New Roman"/>
          <w:color w:val="0070c0"/>
          <w:highlight w:val="white"/>
        </w:rPr>
      </w:r>
      <w:r>
        <w:rPr>
          <w:rFonts w:ascii="Times New Roman" w:hAnsi="Times New Roman"/>
          <w:color w:val="0070c0"/>
          <w:highlight w:val="white"/>
        </w:rPr>
      </w:r>
    </w:p>
    <w:p>
      <w:pPr>
        <w:spacing w:after="0"/>
        <w:widowControl w:val="off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jc w:val="center"/>
        <w:spacing w:after="0"/>
        <w:widowControl w:val="off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jc w:val="center"/>
        <w:spacing w:after="0"/>
        <w:widowControl w:val="off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jc w:val="center"/>
        <w:spacing w:after="0"/>
        <w:widowControl w:val="off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jc w:val="center"/>
        <w:spacing w:after="0"/>
        <w:widowControl w:val="off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jc w:val="center"/>
        <w:spacing w:after="0"/>
        <w:widowControl w:val="off"/>
        <w:rPr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ИНФОРМАЦИЯ (ДОКЛАД)</w:t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spacing w:after="0"/>
        <w:widowControl w:val="off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jc w:val="center"/>
        <w:spacing w:after="0"/>
        <w:widowControl w:val="off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ОБ АНТИМОНОПОЛЬНОМ КОМПЛАЕНСЕ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jc w:val="center"/>
        <w:spacing w:after="0"/>
        <w:widowControl w:val="off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В ХАНТЫ-МАНСИЙСКОМ АВТОНОМНОМ ОКРУГЕ – ЮГРЕ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ЗА 2024 ГОД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Ханты-Мансийск, 2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025</w:t>
      </w:r>
      <w:r>
        <w:rPr>
          <w:rFonts w:ascii="Times New Roman" w:hAnsi="Times New Roman"/>
          <w:sz w:val="28"/>
          <w:szCs w:val="28"/>
          <w:highlight w:val="white"/>
        </w:rPr>
        <w:t xml:space="preserve"> год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pageBreakBefore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Оглавление</w:t>
      </w:r>
      <w:r>
        <w:rPr>
          <w:highlight w:val="white"/>
        </w:rPr>
      </w:r>
      <w:r>
        <w:rPr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W w:w="9649" w:type="dxa"/>
        <w:tblLayout w:type="fixed"/>
        <w:tblLook w:val="04A0" w:firstRow="1" w:lastRow="0" w:firstColumn="1" w:lastColumn="0" w:noHBand="0" w:noVBand="1"/>
      </w:tblPr>
      <w:tblGrid>
        <w:gridCol w:w="959"/>
        <w:gridCol w:w="7981"/>
        <w:gridCol w:w="70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en-US" w:eastAsia="ru-RU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Мероприятия, проведенные Департаментом экономического развития Ханты-Мансийского автономного округа – Югры,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по обеспечению функционирования, внедренной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  <w:br/>
              <w:t xml:space="preserve">в Ханты-Мансийском автономном округе – Югре, системы внутреннего обеспечения соответствия требованиям а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нтимонопольного законодательства деятельности исполнительных органов Ханты-Мансийского автономного округа – Югры и органов местного самоуправления муниципальных образований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Ханты-Мансийского автономного округа – Югры.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en-US" w:eastAsia="ru-RU"/>
              </w:rPr>
              <w:t xml:space="preserve">II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81" w:type="dxa"/>
            <w:textDirection w:val="lrTb"/>
            <w:noWrap w:val="false"/>
          </w:tcPr>
          <w:p>
            <w:pPr>
              <w:ind w:left="3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Об антимонопольном комплаенсе в органах местного самоуправления муниципальных образований 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br/>
              <w:t xml:space="preserve">Ханты-Мансийского автономного округа – Югры и практиках, направленных на его совершенствование.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ind w:left="3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en-US" w:eastAsia="ru-RU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81" w:type="dxa"/>
            <w:textDirection w:val="lrTb"/>
            <w:noWrap w:val="false"/>
          </w:tcPr>
          <w:p>
            <w:pPr>
              <w:ind w:left="3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lang w:eastAsia="ru-RU"/>
              </w:rPr>
              <w:t xml:space="preserve">Анализ выявленных нарушений антимонопольного законодательств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lang w:eastAsia="ru-RU"/>
              </w:rPr>
              <w:t xml:space="preserve">а в деятельности исполнительных органов Ханты-Мансийского автономного округа – Югры и органов местного самоуправления муниципальных образований </w:t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lang w:eastAsia="ru-RU"/>
              </w:rPr>
              <w:br w:type="textWrapping" w:clear="all"/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lang w:eastAsia="ru-RU"/>
              </w:rPr>
              <w:t xml:space="preserve">Ханты-Мансийского автономного округа – Югры за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2024 год.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ind w:left="34"/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en-US" w:eastAsia="ru-RU"/>
              </w:rPr>
              <w:t xml:space="preserve">IV.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О выявлении и оценке рисков нарушения антимон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опольного законодательства.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en-US" w:eastAsia="ru-RU"/>
              </w:rPr>
              <w:t xml:space="preserve">V.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Результаты оценки эффективности функционирования антимонопольного комплаенса в Ханты-Мансийском автономном округе – Югре.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en-US" w:eastAsia="ru-RU"/>
              </w:rPr>
              <w:t xml:space="preserve">VI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Выводы об эффективности функционирования антимонопольного комплаенса в деятельности исполнительных органов Ханты-Мансийского автономного округа – Югры и органов местного самоуправления муниципальных образований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Ханты-Мансийского автономного округа – Югры.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en-US" w:eastAsia="ru-RU"/>
              </w:rPr>
              <w:t xml:space="preserve">VII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8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Приложения.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9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</w:tbl>
    <w:p>
      <w:pPr>
        <w:ind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pageBreakBefore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Ежегодный доклад об антимонопольном комплаенсе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br w:type="textWrapping" w:clear="all"/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Ханты-Мансийском автономном округе – Югре (далее – доклад) подготовлен в соответствии с постановлением Правительства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br w:type="textWrapping" w:clear="all"/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Ханты-Мансийского автономного округа – Югры от 25 января 2019 года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br w:type="textWrapping" w:clear="all"/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№ 12-п </w:t>
      </w:r>
      <w:r>
        <w:rPr>
          <w:rFonts w:ascii="Times New Roman" w:hAnsi="Times New Roman"/>
          <w:sz w:val="28"/>
          <w:szCs w:val="28"/>
          <w:highlight w:val="white"/>
        </w:rPr>
        <w:t xml:space="preserve">«О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Ханты-Мансийского автономног</w:t>
      </w:r>
      <w:r>
        <w:rPr>
          <w:rFonts w:ascii="Times New Roman" w:hAnsi="Times New Roman"/>
          <w:sz w:val="28"/>
          <w:szCs w:val="28"/>
          <w:highlight w:val="white"/>
        </w:rPr>
        <w:t xml:space="preserve">о округа – Югры и органов местного самоуправления муниципальных образований Ханты-Мансийского автономного округа – Югры» </w:t>
      </w:r>
      <w:r>
        <w:rPr>
          <w:rFonts w:ascii="Times New Roman" w:hAnsi="Times New Roman"/>
          <w:sz w:val="28"/>
          <w:szCs w:val="28"/>
          <w:highlight w:val="white"/>
        </w:rPr>
        <w:br w:type="textWrapping" w:clear="all"/>
      </w:r>
      <w:r>
        <w:rPr>
          <w:rFonts w:ascii="Times New Roman" w:hAnsi="Times New Roman"/>
          <w:sz w:val="28"/>
          <w:szCs w:val="28"/>
          <w:highlight w:val="white"/>
        </w:rPr>
        <w:t xml:space="preserve">(далее – Постановление № 12-п).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докладе отражены основные мероприятия по организации </w:t>
      </w:r>
      <w:r>
        <w:rPr>
          <w:rFonts w:ascii="Times New Roman" w:hAnsi="Times New Roman"/>
          <w:sz w:val="28"/>
          <w:szCs w:val="28"/>
          <w:highlight w:val="white"/>
        </w:rPr>
        <w:br w:type="textWrapping" w:clear="all"/>
      </w:r>
      <w:r>
        <w:rPr>
          <w:rFonts w:ascii="Times New Roman" w:hAnsi="Times New Roman"/>
          <w:sz w:val="28"/>
          <w:szCs w:val="28"/>
          <w:highlight w:val="white"/>
        </w:rPr>
        <w:t xml:space="preserve">и функционированию в Ханты-Мансийском автономн</w:t>
      </w:r>
      <w:r>
        <w:rPr>
          <w:rFonts w:ascii="Times New Roman" w:hAnsi="Times New Roman"/>
          <w:sz w:val="28"/>
          <w:szCs w:val="28"/>
          <w:highlight w:val="white"/>
        </w:rPr>
        <w:t xml:space="preserve">ом округе – Югре системы внутреннего обеспечения соответствия требованиям антимонопольного законодательства деятельности исполнительных органов Ханты-Мансийского автономного округа – Югры и органов местного самоуправления муниципальных образований </w:t>
      </w:r>
      <w:r>
        <w:rPr>
          <w:rFonts w:ascii="Times New Roman" w:hAnsi="Times New Roman"/>
          <w:sz w:val="28"/>
          <w:szCs w:val="28"/>
          <w:highlight w:val="white"/>
        </w:rPr>
        <w:br w:type="textWrapping" w:clear="all"/>
      </w:r>
      <w:r>
        <w:rPr>
          <w:rFonts w:ascii="Times New Roman" w:hAnsi="Times New Roman"/>
          <w:sz w:val="28"/>
          <w:szCs w:val="28"/>
          <w:highlight w:val="white"/>
        </w:rPr>
        <w:t xml:space="preserve">Ханты-М</w:t>
      </w:r>
      <w:r>
        <w:rPr>
          <w:rFonts w:ascii="Times New Roman" w:hAnsi="Times New Roman"/>
          <w:sz w:val="28"/>
          <w:szCs w:val="28"/>
          <w:highlight w:val="white"/>
        </w:rPr>
        <w:t xml:space="preserve">ансийского автономного округа – Югры, результаты оценки эффективности организации и функционирования антимонопольного комплаенса, информация о выявленных рисках нарушения антимонопольного законодательства и их оценке, об исполнении</w:t>
      </w:r>
      <w:r>
        <w:rPr>
          <w:rFonts w:ascii="Times New Roman" w:hAnsi="Times New Roman"/>
          <w:sz w:val="28"/>
          <w:szCs w:val="28"/>
          <w:highlight w:val="white"/>
        </w:rPr>
        <w:br w:type="textWrapping" w:clear="all"/>
      </w:r>
      <w:r>
        <w:rPr>
          <w:rFonts w:ascii="Times New Roman" w:hAnsi="Times New Roman"/>
          <w:sz w:val="28"/>
          <w:szCs w:val="28"/>
          <w:highlight w:val="white"/>
        </w:rPr>
        <w:t xml:space="preserve">Плана мероприятий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по сни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жению рисков нарушения антимонопольного законодательства в Ханты-Мансийском автономном округе – Югре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br w:type="textWrapping" w:clear="all"/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на 2024 год.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Также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доклад включены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результаты анализа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выявленных нарушений антимонопольного законодательства в деятельности исполнительных органов Ханты-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Мансийского автономного округа – Югры и органов местного самоуправления муниципальных образований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br/>
        <w:t xml:space="preserve">Ханты-Мансийского автономного округа – Югр</w:t>
      </w:r>
      <w:r>
        <w:rPr>
          <w:rFonts w:ascii="Times New Roman" w:hAnsi="Times New Roman"/>
          <w:sz w:val="28"/>
          <w:szCs w:val="28"/>
          <w:highlight w:val="white"/>
        </w:rPr>
        <w:t xml:space="preserve">ы, а также фактов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совершения должностными лицами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исполнительных органов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br/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Ханты-Мансийского автономного округа – Юг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ры и органов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br/>
        <w:t xml:space="preserve">местного самоуправления муниципальных образований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br/>
        <w:t xml:space="preserve">Ханты-Мансийского автономного округа – Югры </w:t>
      </w:r>
      <w:r>
        <w:rPr>
          <w:rFonts w:ascii="Times New Roman" w:hAnsi="Times New Roman"/>
          <w:sz w:val="28"/>
          <w:szCs w:val="28"/>
          <w:highlight w:val="white"/>
        </w:rPr>
        <w:t xml:space="preserve">действий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(бездействий), которые содержат признаки нарушения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антимонопольного законодательства и могут привести к такому нарушению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в 202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году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widowControl w:val="off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numPr>
          <w:ilvl w:val="0"/>
          <w:numId w:val="1"/>
        </w:numPr>
        <w:ind w:left="0" w:firstLine="0"/>
        <w:jc w:val="center"/>
        <w:spacing w:after="0" w:line="240" w:lineRule="auto"/>
        <w:widowControl w:val="off"/>
        <w:tabs>
          <w:tab w:val="clear" w:pos="0" w:leader="none"/>
          <w:tab w:val="num" w:pos="284" w:leader="none"/>
        </w:tabs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Мероприятия, проведенные Департаментом экономического развития Ханты-Мансийского автономного округа – Югры, 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br w:type="textWrapping" w:clear="all"/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по обеспечению функционирования, внедренной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white"/>
        </w:rPr>
        <w:br/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в Ханты-Мансийском автономном округе – Югре, системы внутреннего обеспечения соответствия требованиям антимонопольного законодательства деятельности исполнительных органов Ханты-Мансийского автономного округа – Югры и органов местного самоуправления муници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пальных образований </w:t>
      </w:r>
      <w:r>
        <w:rPr>
          <w:rFonts w:ascii="Times New Roman" w:hAnsi="Times New Roman"/>
          <w:b/>
          <w:sz w:val="28"/>
          <w:szCs w:val="28"/>
          <w:highlight w:val="white"/>
        </w:rPr>
        <w:br/>
        <w:t xml:space="preserve">Ханты-Мансийского автономного округа – Югры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ind w:left="709"/>
        <w:spacing w:after="0" w:line="240" w:lineRule="auto"/>
        <w:widowControl w:val="off"/>
        <w:tabs>
          <w:tab w:val="left" w:pos="6150" w:leader="none"/>
        </w:tabs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shd w:val="clear" w:color="ffffff" w:themeColor="background1" w:fill="ffffff" w:themeFill="background1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В целях организации обеспечения функционирования, </w:t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br/>
        <w:t xml:space="preserve">внедренной в Ханты-Мансийском автономном округе – Югре </w:t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br/>
        <w:t xml:space="preserve">(далее также – автономный округ, Югра), системы внутреннего обеспечения соответств</w:t>
      </w:r>
      <w:r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ия требованиям антимонопольного законодательства </w:t>
      </w:r>
      <w:r>
        <w:rPr>
          <w:rFonts w:ascii="Times New Roman" w:hAnsi="Times New Roman"/>
          <w:sz w:val="28"/>
          <w:szCs w:val="28"/>
          <w:highlight w:val="white"/>
        </w:rPr>
        <w:t xml:space="preserve">деятельности исполнительных органов автономного округа и органов местного самоуправления муниципальных образований автономного округа (далее – антимонопольный комплаенс, исполнительные органы, ОМСУ) Департам</w:t>
      </w:r>
      <w:r>
        <w:rPr>
          <w:rFonts w:ascii="Times New Roman" w:hAnsi="Times New Roman"/>
          <w:sz w:val="28"/>
          <w:szCs w:val="28"/>
          <w:highlight w:val="white"/>
        </w:rPr>
        <w:t xml:space="preserve">ентом экономического развития автономного округа, как органом, уполномоченным на организацию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и функционирование антимонопольного комплаенса в Югре, осуществлены следующие мероприятия:</w:t>
      </w:r>
      <w:r>
        <w:rPr>
          <w:highlight w:val="white"/>
        </w:rPr>
      </w:r>
      <w:r>
        <w:rPr>
          <w:highlight w:val="white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360" w:lineRule="auto"/>
        <w:shd w:val="clear" w:color="ffffff" w:themeColor="background1" w:fill="ffffff" w:themeFill="background1"/>
        <w:rPr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Обеспечено исполнение Плана мероприятий по снижению рисков нарушения ан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тимонопольного законодательства в автономном округе на 2024 год.</w:t>
      </w:r>
      <w:r>
        <w:rPr>
          <w:highlight w:val="white"/>
        </w:rPr>
      </w:r>
      <w:r>
        <w:rPr>
          <w:highlight w:val="white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360" w:lineRule="auto"/>
        <w:shd w:val="clear" w:color="ffffff" w:themeColor="background1" w:fill="ffffff" w:themeFill="background1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Проведена акция «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Изучая право – развиваем конкуренцию!».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360" w:lineRule="auto"/>
        <w:shd w:val="clear" w:color="ffffff" w:themeColor="background1" w:fill="ffffff" w:themeFill="background1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Проведен </w:t>
      </w:r>
      <w:hyperlink r:id="rId12" w:tooltip="https://depeconom.admhmao.ru/upload/iblock/43f/Prikaz_Luchshie-proekty-_praktiki_-po-funktsionirovaniyu-antimonopolnogo-komplaensa.pdf" w:history="1">
        <w:r>
          <w:rPr>
            <w:rFonts w:ascii="Times New Roman" w:hAnsi="Times New Roman"/>
            <w:sz w:val="28"/>
            <w:szCs w:val="28"/>
            <w:highlight w:val="white"/>
          </w:rPr>
          <w:t xml:space="preserve">ежегодный конкурс «Лучшие проекты (практики) </w:t>
        </w:r>
        <w:r>
          <w:rPr>
            <w:rFonts w:ascii="Times New Roman" w:hAnsi="Times New Roman"/>
            <w:sz w:val="28"/>
            <w:szCs w:val="28"/>
            <w:highlight w:val="white"/>
          </w:rPr>
          <w:br w:type="textWrapping" w:clear="all"/>
        </w:r>
        <w:r>
          <w:rPr>
            <w:rFonts w:ascii="Times New Roman" w:hAnsi="Times New Roman"/>
            <w:sz w:val="28"/>
            <w:szCs w:val="28"/>
            <w:highlight w:val="white"/>
          </w:rPr>
          <w:t xml:space="preserve">по функционированию системы антимонопольного</w:t>
        </w:r>
        <w:r>
          <w:rPr>
            <w:rFonts w:ascii="Times New Roman" w:hAnsi="Times New Roman"/>
            <w:sz w:val="28"/>
            <w:szCs w:val="28"/>
            <w:highlight w:val="white"/>
          </w:rPr>
          <w:t xml:space="preserve"> комплаенса»</w:t>
        </w:r>
      </w:hyperlink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360" w:lineRule="auto"/>
        <w:shd w:val="clear" w:color="ffffff" w:themeColor="background1" w:fill="ffffff" w:themeFill="background1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Подготовлен и направлен в исполнительные органы и ОМСУ обзор нарушений антимонопольного законодательства, а также положений, способствующих возникновению возможных рисков таких нарушений, выявленных при проведении экспертизы проектов норматив</w:t>
      </w:r>
      <w:r>
        <w:rPr>
          <w:rFonts w:ascii="Times New Roman" w:hAnsi="Times New Roman"/>
          <w:sz w:val="28"/>
          <w:szCs w:val="28"/>
          <w:highlight w:val="white"/>
        </w:rPr>
        <w:t xml:space="preserve">ных правовых актов автономного округа </w:t>
      </w:r>
      <w:r>
        <w:rPr>
          <w:rFonts w:ascii="Times New Roman" w:hAnsi="Times New Roman"/>
          <w:sz w:val="28"/>
          <w:szCs w:val="28"/>
          <w:highlight w:val="white"/>
        </w:rPr>
        <w:br w:type="textWrapping" w:clear="all"/>
      </w:r>
      <w:r>
        <w:rPr>
          <w:rFonts w:ascii="Times New Roman" w:hAnsi="Times New Roman"/>
          <w:sz w:val="28"/>
          <w:szCs w:val="28"/>
          <w:highlight w:val="white"/>
        </w:rPr>
        <w:t xml:space="preserve">и проектов нормативных правовых актов ОМСУ.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360" w:lineRule="auto"/>
        <w:shd w:val="clear" w:color="ffffff" w:themeColor="background1" w:fill="ffffff" w:themeFill="background1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Проведен семинар-совещание с должностными лицами исполнительных органов и ОМСУ по итогам анализа выявленных нарушений антимонопольного законодательства, оценки эффективности</w:t>
      </w:r>
      <w:r>
        <w:rPr>
          <w:rFonts w:ascii="Times New Roman" w:hAnsi="Times New Roman"/>
          <w:sz w:val="28"/>
          <w:szCs w:val="28"/>
          <w:highlight w:val="white"/>
        </w:rPr>
        <w:t xml:space="preserve"> функционирования антимонопольного комплаенса и содействия развитию конкуренции в автономном округе.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shd w:val="clear" w:color="ffffff" w:themeColor="background1" w:fill="ffffff" w:themeFill="background1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Опытом и практиками по функционированию антимонопольного комплаенса в ОМСУ поделились представители администраций Сургутского района и города Ханты-Мансий</w:t>
      </w:r>
      <w:r>
        <w:rPr>
          <w:rFonts w:ascii="Times New Roman" w:hAnsi="Times New Roman"/>
          <w:sz w:val="28"/>
          <w:szCs w:val="28"/>
          <w:highlight w:val="white"/>
        </w:rPr>
        <w:t xml:space="preserve">ска. </w:t>
      </w:r>
      <w:r>
        <w:rPr>
          <w:highlight w:val="white"/>
        </w:rPr>
      </w:r>
      <w:r>
        <w:rPr>
          <w:highlight w:val="white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360" w:lineRule="auto"/>
        <w:shd w:val="clear" w:color="ffffff" w:themeColor="background1" w:fill="ffffff" w:themeFill="background1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Обеспечено исполнение всеми исполнительными органами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и ОМСУ «карт» выявленных рисков нарушений антимонопольного законодательства (далее – комплаенс-риски) и «дорожных карт»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по снижению комплаенс-рисков. Осуществлен контроль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за их исполнением. </w:t>
      </w:r>
      <w:r>
        <w:rPr>
          <w:highlight w:val="white"/>
        </w:rPr>
      </w:r>
      <w:r>
        <w:rPr>
          <w:highlight w:val="white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360" w:lineRule="auto"/>
        <w:shd w:val="clear" w:color="ffffff" w:themeColor="background1" w:fill="ffffff" w:themeFill="background1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Проведен анализ 57 действующих нормативных правовых актов автономного округа и ОМСУ на предмет выявления положений, содержащих возможные риски нарушения антимонопольного законодательства.</w:t>
      </w:r>
      <w:r>
        <w:rPr>
          <w:highlight w:val="white"/>
        </w:rPr>
      </w:r>
      <w:r>
        <w:rPr>
          <w:highlight w:val="white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360" w:lineRule="auto"/>
        <w:shd w:val="clear" w:color="ffffff" w:themeColor="background1" w:fill="ffffff" w:themeFill="background1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Во исполнение пункта 7 раздела III приложения 2 </w:t>
      </w:r>
      <w:r>
        <w:rPr>
          <w:rFonts w:ascii="Times New Roman" w:hAnsi="Times New Roman" w:eastAsia="Times New Roman"/>
          <w:sz w:val="28"/>
          <w:szCs w:val="28"/>
          <w:highlight w:val="white"/>
        </w:rPr>
        <w:br/>
        <w:t xml:space="preserve">к межведомственной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программе мер по выявлению и пресечению </w:t>
      </w:r>
      <w:r>
        <w:rPr>
          <w:rFonts w:ascii="Times New Roman" w:hAnsi="Times New Roman" w:eastAsia="Times New Roman"/>
          <w:sz w:val="28"/>
          <w:szCs w:val="28"/>
          <w:highlight w:val="white"/>
        </w:rPr>
        <w:br/>
        <w:t xml:space="preserve">картелей и иных ограничивающих конкуренцию соглашений </w:t>
      </w:r>
      <w:r>
        <w:rPr>
          <w:rFonts w:ascii="Times New Roman" w:hAnsi="Times New Roman" w:eastAsia="Times New Roman"/>
          <w:sz w:val="28"/>
          <w:szCs w:val="28"/>
          <w:highlight w:val="white"/>
        </w:rPr>
        <w:br/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на 2024-2028 годы</w:t>
      </w:r>
      <w:r>
        <w:rPr>
          <w:rFonts w:ascii="Times New Roman" w:hAnsi="Times New Roman" w:eastAsia="Times New Roman"/>
          <w:sz w:val="28"/>
          <w:szCs w:val="28"/>
          <w:highlight w:val="white"/>
          <w:vertAlign w:val="superscript"/>
        </w:rPr>
        <w:footnoteReference w:id="2"/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проведен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анализ 63 действующих нормативных правовых актов автономного округа и ОМСУ на предмет наличия положе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ний, ограничивающих конкуренцию и способствующих скрытой монополизации экономики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360" w:lineRule="auto"/>
        <w:shd w:val="clear" w:color="ffffff" w:themeColor="background1" w:fill="ffffff" w:themeFill="background1"/>
        <w:rPr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Проведен анализ сведений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о выявленных в деятельности исполнительных органов и ОМСУ нарушениях антимонопольного законодательства и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фактах совершения должностными лицами испол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нительных органов и ОМСУ </w:t>
      </w:r>
      <w:r>
        <w:rPr>
          <w:rFonts w:ascii="Times New Roman" w:hAnsi="Times New Roman"/>
          <w:sz w:val="28"/>
          <w:szCs w:val="28"/>
          <w:highlight w:val="white"/>
        </w:rPr>
        <w:t xml:space="preserve">действий (бездействий), которые содержат признаки нарушения антимонопольного законодательства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и могут привести к такому нарушению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в 2024 году. Анализ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br/>
        <w:t xml:space="preserve">проведен на основании информации, представленной Управлением Федеральной антимо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нопольной службы по автономному округу (далее также – антимонопольный орган).</w:t>
      </w:r>
      <w:r>
        <w:rPr>
          <w:highlight w:val="white"/>
        </w:rPr>
      </w:r>
      <w:r>
        <w:rPr>
          <w:highlight w:val="white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360" w:lineRule="auto"/>
        <w:shd w:val="clear" w:color="ffffff" w:themeColor="background1" w:fill="ffffff" w:themeFill="background1"/>
        <w:rPr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На постоянной основе в 2024 году Департаментом экономического развития автономного округа: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shd w:val="clear" w:color="ffffff" w:themeColor="background1" w:fill="ffffff" w:themeFill="background1"/>
        <w:rPr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проводилась экспертиза проектов нормативных правовых актов, разработанных и направленны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х исполнительными органами автономного округа и ОМСУ, на предмет выявления положений, содержащих возможные риски нарушения антимонопольного законодательства;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shd w:val="clear" w:color="ffffff" w:themeColor="background1" w:fill="ffffff" w:themeFill="background1"/>
        <w:rPr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осуществлялся мониторинг и анализ практики применения антимонопольного законодательства;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after="0" w:line="360" w:lineRule="auto"/>
        <w:shd w:val="clear" w:color="ffffff" w:themeColor="background1" w:fill="ffffff" w:themeFill="background1"/>
        <w:rPr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ab/>
        <w:t xml:space="preserve">проводило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сь консультирование служащих исполнительных органов и ОМСУ по вопросам функционирования антимонопольного комплаенса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br/>
        <w:t xml:space="preserve">в автономном округе.</w:t>
      </w:r>
      <w:r>
        <w:rPr>
          <w:highlight w:val="white"/>
        </w:rPr>
      </w:r>
      <w:r>
        <w:rPr>
          <w:highlight w:val="white"/>
        </w:rPr>
      </w:r>
    </w:p>
    <w:p>
      <w:pPr>
        <w:numPr>
          <w:ilvl w:val="0"/>
          <w:numId w:val="2"/>
        </w:numPr>
        <w:ind w:left="0" w:firstLine="709"/>
        <w:jc w:val="both"/>
        <w:spacing w:after="0" w:line="360" w:lineRule="auto"/>
        <w:shd w:val="clear" w:color="ffffff" w:themeColor="background1" w:fill="ffffff" w:themeFill="background1"/>
        <w:rPr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Разработан и утвержден План мероприятий по снижению рисков нарушения антимонопольного законодательства в автономном ок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руге на 2025 год</w:t>
      </w:r>
      <w:r>
        <w:rPr>
          <w:rStyle w:val="1164"/>
          <w:rFonts w:ascii="Times New Roman" w:hAnsi="Times New Roman"/>
          <w:bCs/>
          <w:sz w:val="28"/>
          <w:szCs w:val="28"/>
          <w:highlight w:val="white"/>
          <w:lang w:eastAsia="ru-RU"/>
        </w:rPr>
        <w:footnoteReference w:id="3"/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left="709"/>
        <w:jc w:val="both"/>
        <w:spacing w:after="0" w:line="36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numPr>
          <w:ilvl w:val="0"/>
          <w:numId w:val="1"/>
        </w:numPr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Об антимонопольном комплаенсе в органах местного самоуправления муниципальных образований 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br w:type="textWrapping" w:clear="all"/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Ханты-Мансийского автономного округа – Югры 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br w:type="textWrapping" w:clear="all"/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и практиках, направленных на его совершенствование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ind w:left="1429"/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Во всех муниципальных образованиях автономного округа создана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и функционирует система антимонопольного комплаенса: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Разработаны, приняты и на постоянной основе реализуются соответствующие правовые акты.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Разработаны (актуализированы) и утверждены планы мероприятий по снижению рисков нарушения антимонопольного законодательства.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Разработаны (актуализированы), приняты и исполняются </w:t>
        <w:br/>
        <w:t xml:space="preserve">в полном объеме «карты» </w:t>
      </w:r>
      <w:r>
        <w:rPr>
          <w:rFonts w:ascii="Times New Roman" w:hAnsi="Times New Roman"/>
          <w:sz w:val="28"/>
          <w:szCs w:val="28"/>
          <w:highlight w:val="white"/>
        </w:rPr>
        <w:t xml:space="preserve">комплаенс-рисков и «дорожные карты» </w:t>
        <w:br/>
        <w:t xml:space="preserve">по снижению компла</w:t>
      </w:r>
      <w:r>
        <w:rPr>
          <w:rFonts w:ascii="Times New Roman" w:hAnsi="Times New Roman"/>
          <w:sz w:val="28"/>
          <w:szCs w:val="28"/>
          <w:highlight w:val="white"/>
        </w:rPr>
        <w:t xml:space="preserve">енс-рисков, с указанием разработанных мер </w:t>
        <w:br/>
        <w:t xml:space="preserve">по их снижению. 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Определены порядки проведения экспертиз проектов и анализа нормативных правовых актов ОМСУ.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Назначены должностные лица, ответственные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за функционирование антимонопольного комплаенса в ОМСУ.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Опреде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лены должностные лица, ответственные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за взаимодействие с Департаментом экономического развития автономного округа по вопросам функционирования антимонопольного комплаенса.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Проводится экспертиза проектов муниципальных нормативных правовых актов.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Проводится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анализ действующих муниципальных нормативных правовых актов.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numPr>
          <w:ilvl w:val="0"/>
          <w:numId w:val="4"/>
        </w:numPr>
        <w:ind w:left="0" w:firstLine="709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Проекты муниципальных нормативных правовых актов размещаются в информационно-телекоммуникационной сети «Интернет» (далее – сеть «Интернет») на Портале проектов нормативных правовых актов (</w:t>
      </w:r>
      <w:r>
        <w:rPr>
          <w:rFonts w:ascii="Times New Roman" w:hAnsi="Times New Roman" w:eastAsia="Times New Roman"/>
          <w:sz w:val="28"/>
          <w:szCs w:val="28"/>
          <w:highlight w:val="white"/>
          <w:lang w:val="en-US" w:eastAsia="ru-RU"/>
        </w:rPr>
        <w:t xml:space="preserve">regula</w:t>
      </w:r>
      <w:r>
        <w:rPr>
          <w:rFonts w:ascii="Times New Roman" w:hAnsi="Times New Roman" w:eastAsia="Times New Roman"/>
          <w:sz w:val="28"/>
          <w:szCs w:val="28"/>
          <w:highlight w:val="white"/>
          <w:lang w:val="en-US" w:eastAsia="ru-RU"/>
        </w:rPr>
        <w:t xml:space="preserve">tion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white"/>
          <w:lang w:val="en-US" w:eastAsia="ru-RU"/>
        </w:rPr>
        <w:t xml:space="preserve">admhmao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white"/>
          <w:lang w:val="en-US" w:eastAsia="ru-RU"/>
        </w:rPr>
        <w:t xml:space="preserve">ru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) для проведения общественной экспертизы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и публичного обсуждения.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 качестве наиболее </w:t>
      </w:r>
      <w:r>
        <w:rPr>
          <w:rFonts w:ascii="Times New Roman" w:hAnsi="Times New Roman"/>
          <w:sz w:val="28"/>
          <w:szCs w:val="28"/>
          <w:highlight w:val="white"/>
        </w:rPr>
        <w:t xml:space="preserve">оптимальных методов и способов профилактики нарушений антимонопольного законодательства ОМСУ определены следующие методы: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мониторинг изменений действующе</w:t>
      </w:r>
      <w:r>
        <w:rPr>
          <w:rFonts w:ascii="Times New Roman" w:hAnsi="Times New Roman"/>
          <w:sz w:val="28"/>
          <w:szCs w:val="28"/>
          <w:highlight w:val="white"/>
        </w:rPr>
        <w:t xml:space="preserve">го законодательства, изучение судебной практики, анализ нарушений, допущенных ОМСУ;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подготовка правовых актов, предусматривающих утверждение перечня действующих нормативных правовых актов, подлежащих анализу на предмет их соответствия антимонопольному за</w:t>
      </w:r>
      <w:r>
        <w:rPr>
          <w:rFonts w:ascii="Times New Roman" w:hAnsi="Times New Roman"/>
          <w:sz w:val="28"/>
          <w:szCs w:val="28"/>
          <w:highlight w:val="white"/>
        </w:rPr>
        <w:t xml:space="preserve">конодательству;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подготовка обзоров типовых нарушений в целях проведения анализа на предмет наличия (отсутствия) аналогичных нарушений антимонопольного законодательства в деятельности структурных подразделений ОМСУ (муниципальных учреждений и предприятий)</w:t>
      </w:r>
      <w:r>
        <w:rPr>
          <w:rFonts w:ascii="Times New Roman" w:hAnsi="Times New Roman"/>
          <w:sz w:val="28"/>
          <w:szCs w:val="28"/>
          <w:highlight w:val="white"/>
        </w:rPr>
        <w:t xml:space="preserve">, обеспечения принятия мер по их устранению, а также причин  возникновения нарушений;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создание коллегиальных (совещательных) органов (комиссий) </w:t>
        <w:br/>
        <w:t xml:space="preserve">по рассмотрению вопросов, связанных с функционированием антимонопольного комплаенса в ОМСУ;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обеспечение повы</w:t>
      </w:r>
      <w:r>
        <w:rPr>
          <w:rFonts w:ascii="Times New Roman" w:hAnsi="Times New Roman"/>
          <w:sz w:val="28"/>
          <w:szCs w:val="28"/>
          <w:highlight w:val="white"/>
        </w:rPr>
        <w:t xml:space="preserve">шения уровня знаний и компетенций в сфере антимонопольного законодательства муниципальных служащих </w:t>
        <w:br/>
        <w:t xml:space="preserve">и сотрудников подведомственных исполнительным органам и ОМСУ учреждений (организаций);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создание (наполнение) на официальном са</w:t>
      </w:r>
      <w:r>
        <w:rPr>
          <w:rFonts w:ascii="Times New Roman" w:hAnsi="Times New Roman"/>
          <w:sz w:val="28"/>
          <w:szCs w:val="28"/>
          <w:highlight w:val="white"/>
        </w:rPr>
        <w:t xml:space="preserve">йте ОМСУ в сети «Интернет» раздела «Антимонопольный комплаенс» и проведение ме</w:t>
      </w:r>
      <w:r>
        <w:rPr>
          <w:rFonts w:ascii="Times New Roman" w:hAnsi="Times New Roman"/>
          <w:sz w:val="28"/>
          <w:szCs w:val="28"/>
          <w:highlight w:val="white"/>
        </w:rPr>
        <w:t xml:space="preserve">роприятий, направленных на его наполнение и актуализацию;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разработка типовых (модельных) нормативных правовых актов;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применение различных способов стимулирования деятельности ОМСУ в сфере антимонопольного комплаенса (система мотивации), направленного на </w:t>
      </w:r>
      <w:r>
        <w:rPr>
          <w:rFonts w:ascii="Times New Roman" w:hAnsi="Times New Roman"/>
          <w:sz w:val="28"/>
          <w:szCs w:val="28"/>
          <w:highlight w:val="white"/>
        </w:rPr>
        <w:t xml:space="preserve">качественное и своевременное выполнение требований антимонопольного закон</w:t>
      </w:r>
      <w:r>
        <w:rPr>
          <w:rFonts w:ascii="Times New Roman" w:hAnsi="Times New Roman"/>
          <w:sz w:val="28"/>
          <w:szCs w:val="28"/>
          <w:highlight w:val="white"/>
        </w:rPr>
        <w:t xml:space="preserve">одательства, в том числе посредством проведения оценки в соответствии с утвержденными показателями эффективности деятельности отраслевых (функциональных) органов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внедрение института наставничества по направлению деятельности</w:t>
      </w:r>
      <w:r>
        <w:rPr>
          <w:rFonts w:ascii="Times New Roman" w:hAnsi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  <w:t xml:space="preserve"> ан</w:t>
      </w:r>
      <w:r>
        <w:rPr>
          <w:rFonts w:ascii="Times New Roman" w:hAnsi="Times New Roman"/>
          <w:sz w:val="28"/>
          <w:szCs w:val="28"/>
          <w:highlight w:val="white"/>
        </w:rPr>
        <w:t xml:space="preserve">тимонопольный комплаенс.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 целях оптимизации и автоматизации процесса взаимодействия Департамента экономического развития автономного округа, исполнительных органов и ОМСУ, посредством</w:t>
      </w:r>
      <w:r>
        <w:rPr>
          <w:rFonts w:ascii="Times New Roman" w:hAnsi="Times New Roman"/>
          <w:sz w:val="28"/>
          <w:szCs w:val="28"/>
          <w:highlight w:val="white"/>
        </w:rPr>
        <w:t xml:space="preserve"> модуля «Антимонопольный комплаенс» специализированного программного обеспечения (далее – модул</w:t>
      </w:r>
      <w:r>
        <w:rPr>
          <w:rFonts w:ascii="Times New Roman" w:hAnsi="Times New Roman"/>
          <w:sz w:val="28"/>
          <w:szCs w:val="28"/>
          <w:highlight w:val="white"/>
        </w:rPr>
        <w:t xml:space="preserve">ь АМК),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функционирует многоуровневая система экспертизы проектов муниципальных нормативных правовых актов, способствующая всесторонней и комплексной оценке наличия (отсутствия) в них положений, содержащих возможные риски нарушения антимонопольного законода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тельства, и недопущению издания нормативных правовых актов, принятие которых может повлечь нарушение антимонопольного законодательства.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shd w:val="clear" w:color="ffffff" w:themeColor="background1" w:fill="ffffff" w:themeFill="background1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Так, в 2024 году в модуль АМК ОМСУ загружено 117</w:t>
      </w:r>
      <w:r>
        <w:rPr>
          <w:rFonts w:ascii="Times New Roman" w:hAnsi="Times New Roman" w:eastAsia="Times New Roman"/>
          <w:i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проектов муниципальных нормативных правовых актов. По результатам экспе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ртизы в 14 из них выявлены положения, содержащие возможные риски нарушения антимонопольного законодательства Российской Федерации,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br/>
        <w:t xml:space="preserve">а также положения, которые не относятся к рискам нарушения антимонопольного законодательства, но могут способствовать создан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ию условий для их возникновения. Соответствующие рекомендации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 устранению указанных положений направлены в адрес разработчиков проектов нормативных правовых актов. 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shd w:val="clear" w:color="ffffff" w:themeColor="background1" w:fill="ffffff" w:themeFill="background1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 целях совершенствования системы антимонопольного комплаенса ОМСУ внедряются и реализую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тся соответствующие мероприятия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и практики.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Так, в муниципальном образовании город Нижневартовск реализуется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проект (практика) «Антимонопольный Комплаенс. Перезагрузка», заключающийся в создании комплаенс-коммьюнит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 нового объединения высококвалифициров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анных специалистов органов власти, предпринимателей, представителей общественности, экспертов делового и научного сообщества. В муниципальном образовании создано пространство для взаимодействия экспертов в своей области, которое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br/>
        <w:t xml:space="preserve">как ожидается, ста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нет инструментом для повышения эффективности антимонопольного регулирования и укрепления доверия </w:t>
        <w:br/>
        <w:t xml:space="preserve">к органам власти со стороны бизнес-сообщества, деловых структур </w:t>
        <w:br/>
        <w:t xml:space="preserve">и общественности.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 Сургутском районе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внедрена п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рактика «Новый формат взаимодействия разработчиков правовых актов и участников публичных обсуждений: «Видеоконтент – кратко, понятно, интересно». Новый формат взаимодействия разработчиков правовых актов (отраслевых (функциональных) органов администрации ра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она) и участников публичных обсуждений,  позволил расширить количество </w:t>
        <w:br/>
        <w:t xml:space="preserve">интернет-площадок для обсуждений и охват аудитории. Вовлечение социальных сетей в информирование о бизнес-процессах антимонопольной экспертизы стало новацией на территории Сургутского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района. Результатом стало расширение каналов связи между участниками публичных консультаций и разработчиками проектов правовых актов.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муниципальном образовании город Когалым реализуется практика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«Пра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ктика функционирования и совершенствования системы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антимонопольного комплаенса в Администрации города Когалыма». </w:t>
        <w:br/>
        <w:t xml:space="preserve">В рамках функционирования системы предусмотрена реализация, </w:t>
        <w:br/>
        <w:t xml:space="preserve">в том числе комплекса правовых и организационных мер с применением инструментов бер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ежл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ивого производства, а также установление «антимонопольных стандартов», обязательных для всех работников </w:t>
        <w:br/>
        <w:t xml:space="preserve">при осуществлении своих полномочий. Указанный подход направлен </w:t>
        <w:br/>
        <w:t xml:space="preserve">на формирование и развитие системы с максимальной ориентацией </w:t>
        <w:br/>
        <w:t xml:space="preserve">на конечную ценность, из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б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авление от любых видов непроизводительных потерь, использование материальных, временных и трудовых ресурсов максимально эффективно при помощи современных технологий, </w:t>
        <w:br/>
        <w:t xml:space="preserve">а также вовлечение каждого сотрудника в процесс улучшений и раскрытие их творческого поте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нциала.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b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  <w:lang w:val="en-US" w:eastAsia="ru-RU"/>
        </w:rPr>
        <w:t xml:space="preserve">III</w:t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. Анализ выявленных нарушений антимонопольного законодательства в деятельности исполнительных органов </w:t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br w:type="textWrapping" w:clear="all"/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Ханты-Мансийского автономного </w:t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br w:type="textWrapping" w:clear="all"/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округа – Югры и органов местного самоуправления муниципальных образований Ханты-Мансийского автономного округа </w:t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– Югры</w:t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br w:type="textWrapping" w:clear="all"/>
      </w:r>
      <w:r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 xml:space="preserve">за 2024</w:t>
      </w:r>
      <w:r>
        <w:rPr>
          <w:rFonts w:ascii="Times New Roman" w:hAnsi="Times New Roman" w:eastAsia="Times New Roman"/>
          <w:b/>
          <w:sz w:val="28"/>
          <w:szCs w:val="28"/>
          <w:highlight w:val="white"/>
          <w:lang w:eastAsia="ru-RU"/>
        </w:rPr>
        <w:t xml:space="preserve"> год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left="709"/>
        <w:jc w:val="center"/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/>
          <w:b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 целях исполнения подпункта 1.3.1 Приложения к Постановлению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№ 12-п проведен анализ выявленных нарушений антимонопольного законодательства в деятельности исполнительных органов и ОМСУ,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br/>
        <w:t xml:space="preserve">а также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сведений о фактах совершения должностным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и лицами исполнительных органов автономного округа и ОМСУ </w:t>
      </w:r>
      <w:r>
        <w:rPr>
          <w:rFonts w:ascii="Times New Roman" w:hAnsi="Times New Roman"/>
          <w:sz w:val="28"/>
          <w:szCs w:val="28"/>
          <w:highlight w:val="white"/>
        </w:rPr>
        <w:t xml:space="preserve">действий (бездействий), которые содержат признаки нарушения антимонопольного законодательства и могут привести к такому нарушению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в 2024 году.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rPr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Анализ проведен на основании информации, направленной исполнительными органами автономного округа и ОМСУ, а также информации Управления Федеральной антимонопольной службы </w:t>
        <w:br/>
        <w:t xml:space="preserve">по автономному округу, о выявленных нарушениях антимонопольного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законодательства, а и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менно: статей 15-17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Федерального закона от 26 июля 2006 года № 135-ФЗ «О защите конкуренции» (далее также – Федеральный закон № 135-ФЗ, Закон о защите конкуренции)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spacing w:after="0" w:line="360" w:lineRule="auto"/>
        <w:shd w:val="clear" w:color="ffffff" w:themeColor="background1" w:fill="ffffff" w:themeFill="background1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В 2024 году Управлением Федеральной антимонопольной службы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br/>
        <w:t xml:space="preserve">по автономному округу, в соотве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тствии с полномочиями,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возбуждено 1 дело о признаках нарушения антимонопольного законодательства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br/>
        <w:t xml:space="preserve">в отношении ОМСУ (Администрации города Пыть-Яха)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и 1 дело </w:t>
        <w:br/>
        <w:t xml:space="preserve">в отношении стр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уктурного подразделения Департамента социального развития автономного округа Управления социальной защиты населения, опеки и попечительства по городу Сургуту и Сургутскому району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Антимонопольным органом вынесено решение по признакам нарушения части 3 стат</w:t>
      </w:r>
      <w:r>
        <w:rPr>
          <w:rFonts w:ascii="Times New Roman" w:hAnsi="Times New Roman"/>
          <w:sz w:val="28"/>
          <w:szCs w:val="28"/>
          <w:highlight w:val="white"/>
        </w:rPr>
        <w:t xml:space="preserve">ьи 17 Закона о защите конкуренции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,  выразившееся в объединении в единый лот при проведении электронного аукциона </w:t>
      </w:r>
      <w:r>
        <w:rPr>
          <w:rFonts w:ascii="Times New Roman" w:hAnsi="Times New Roman"/>
          <w:bCs/>
          <w:sz w:val="28"/>
          <w:szCs w:val="28"/>
          <w:highlight w:val="white"/>
        </w:rPr>
        <w:br/>
        <w:t xml:space="preserve">на выполнение работ по архитектурно-худо</w:t>
      </w:r>
      <w:r>
        <w:rPr>
          <w:rFonts w:ascii="Times New Roman" w:hAnsi="Times New Roman"/>
          <w:sz w:val="28"/>
          <w:szCs w:val="28"/>
          <w:highlight w:val="white"/>
        </w:rPr>
        <w:t xml:space="preserve">жественному освещению объектов, расположенных на различных объектах муниципального образования автоном</w:t>
      </w:r>
      <w:r>
        <w:rPr>
          <w:rFonts w:ascii="Times New Roman" w:hAnsi="Times New Roman"/>
          <w:sz w:val="28"/>
          <w:szCs w:val="28"/>
          <w:highlight w:val="white"/>
        </w:rPr>
        <w:t xml:space="preserve">ного округа.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Согласно положениям </w:t>
      </w:r>
      <w:r>
        <w:rPr>
          <w:rFonts w:ascii="Times New Roman" w:hAnsi="Times New Roman"/>
          <w:sz w:val="28"/>
          <w:szCs w:val="28"/>
          <w:highlight w:val="white"/>
        </w:rPr>
        <w:t xml:space="preserve">Закона о защите конкуренции запрещается ограничение конкуренции между участниками торгов путем включения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в состав лотов товаров, работ, услуг, технологически и функционально </w:t>
        <w:br/>
        <w:t xml:space="preserve">не связанных с товарами, работами, услугами, пос</w:t>
      </w:r>
      <w:r>
        <w:rPr>
          <w:rFonts w:ascii="Times New Roman" w:hAnsi="Times New Roman"/>
          <w:sz w:val="28"/>
          <w:szCs w:val="28"/>
          <w:highlight w:val="white"/>
        </w:rPr>
        <w:t xml:space="preserve">тавки, выполнение, оказание которых являются предметом торгов.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eastAsia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</w:rPr>
        <w:t xml:space="preserve">Рынок оказания услуг деятельности по архитектурно-художественному освещению объектов конкурентный и является открытым для вхождения любых хозяйствующих субъектов,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как расположенных в автономн</w:t>
      </w:r>
      <w:r>
        <w:rPr>
          <w:rFonts w:ascii="Times New Roman" w:hAnsi="Times New Roman"/>
          <w:sz w:val="28"/>
          <w:szCs w:val="28"/>
          <w:highlight w:val="white"/>
        </w:rPr>
        <w:t xml:space="preserve">ом округе, так и хозяйствующих субъектов, расположенных за его пределами.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</w:rPr>
        <w:t xml:space="preserve">Антимонопольным органом вынесено решение по признакам нарушения части 1 статьи 17 Закона о защите конкуренции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,  выразившееся </w:t>
      </w:r>
      <w:r>
        <w:rPr>
          <w:rFonts w:ascii="Times New Roman" w:hAnsi="Times New Roman"/>
          <w:sz w:val="28"/>
          <w:szCs w:val="28"/>
          <w:highlight w:val="white"/>
        </w:rPr>
        <w:t xml:space="preserve">в допуске к участию и признании победителем конкурса автономной некоммерческой организации социального обслуживания населения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(далее – НКО).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муниципальном образовании автономного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округа был объявлен конкурс на предоставление субсидии социально ориентированным некоммерческим организациям автономного округа (далее – СОНКО, конкурс)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Антимонопольным органом установлено, что документы, подтверждающие соответствие критериям и требования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м конкурса </w:t>
      </w:r>
      <w:r>
        <w:rPr>
          <w:rFonts w:ascii="Times New Roman" w:hAnsi="Times New Roman"/>
          <w:sz w:val="28"/>
          <w:szCs w:val="28"/>
          <w:highlight w:val="white"/>
        </w:rPr>
        <w:t xml:space="preserve">НКО,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заявившейся на участие в конкурсе, в составе заявки отсутствуют.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Указанная НКО была допущена к участию и признана победителем конкурса, что привело к нарушению </w:t>
      </w:r>
      <w:hyperlink r:id="rId13" w:tooltip="https://login.consultant.ru/link/?req=doc&amp;base=LAW&amp;n=474932&amp;dst=660&amp;field=134&amp;date=16.01.2025" w:history="1">
        <w:r>
          <w:rPr>
            <w:rFonts w:ascii="Times New Roman" w:hAnsi="Times New Roman"/>
            <w:sz w:val="28"/>
            <w:szCs w:val="28"/>
            <w:highlight w:val="white"/>
            <w:lang w:eastAsia="ru-RU"/>
          </w:rPr>
          <w:t xml:space="preserve">части 1 статьи 17</w:t>
        </w:r>
      </w:hyperlink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Закона о защите конкуренции.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360" w:lineRule="auto"/>
        <w:rPr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Управлением Федеральной антимонопольной службы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br/>
        <w:t xml:space="preserve">по автономному округу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в 2024 го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ду выдано 5 предупреждений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br/>
        <w:t xml:space="preserve">о прекращении действий (бездействий), которые содержат признаки нарушения антимонопольного законодательства. </w:t>
      </w:r>
      <w:r>
        <w:rPr>
          <w:highlight w:val="white"/>
        </w:rPr>
      </w:r>
      <w:r>
        <w:rPr>
          <w:highlight w:val="whit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При осуществлении функций и полномочий ОМСУ автономного округа совершено 3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действия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(бездействия), которые содержат пр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изнаки нарушения части 1 статьи 15 Федерального закона № 135-ФЗ, а именно: совершение действий (бездействий), которые приводят или могут привести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br/>
        <w:t xml:space="preserve">к недопущению, ограничению или устранению конкуренции, выразившихся: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– в ус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тановлении в договоре управления многоквартирным домом, заключенного по итогам конкурса по отбору управляющей организации для управления многоквартирными домами, условий о возможности продления договора на срок,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определенный таким договором, неогран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иченн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ое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количество раз (Администрация города Покачи, предупреждение исполнено в установленный срок);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в передаче муниципальному автономному учреждению, согласно Уставу, полномочий на выполнение работ по оказанию услуг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по содержанию и обслуживанию муниципальных у</w:t>
      </w:r>
      <w:r>
        <w:rPr>
          <w:rFonts w:ascii="Times New Roman" w:hAnsi="Times New Roman"/>
          <w:sz w:val="28"/>
          <w:szCs w:val="28"/>
          <w:highlight w:val="white"/>
        </w:rPr>
        <w:t xml:space="preserve">чреждений, организации питания, организации транспортного обслуживания муниципальных учреждений (Администрация Советского района, предупреждение не исполнено в установленный срок – обжалуется в суде);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в передаче муниципального имущества Обществу с огран</w:t>
      </w:r>
      <w:r>
        <w:rPr>
          <w:rFonts w:ascii="Times New Roman" w:hAnsi="Times New Roman"/>
          <w:sz w:val="28"/>
          <w:szCs w:val="28"/>
          <w:highlight w:val="white"/>
        </w:rPr>
        <w:t xml:space="preserve">иченной ответственностью по договору аренды без проведения торгов (Комитет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по управлению муниципальным имуществом Администрации Кондинского района, предупреждение исполнено в срок).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360" w:lineRule="auto"/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</w:rPr>
        <w:t xml:space="preserve">При осуществлении функций и полномочий исполнительных органов автономного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округа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совершено 2 действия (бездействия), которые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содержат признаки нарушения антимонопольного законодательства, части 3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 статьи 15 Федерального закона № 135-ФЗ, а именно нарушение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запрета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на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совмещение функций органов исполнительной власти субъектов Российс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кой Федерации, иных органов власти, органов местного самоуправления и функций хозяйствующих субъектов, а также наделение хозяйствующих субъектов функциями и правами указанных органов, выразившиеся: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</w:r>
    </w:p>
    <w:p>
      <w:pPr>
        <w:ind w:firstLine="540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– в утверждении Устава автономного учреждения, в соответст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вии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br/>
        <w:t xml:space="preserve">с которым учреждение осуществляет организацию и проведение международных, всероссийских, межрегиональных, региональных, межмуниципальных, официальных физкультурных мероприятий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br/>
        <w:t xml:space="preserve">и спортивных мероприятий (Департамент по управлению государственным имущес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твом Ханты-Мансийского автономного округа – Югры, предупреждение исполнено в срок);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в издании приказа и утверждении государственного задания на 2024 год и плановый период 2025 и 2026 годов в части организации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и проведении международных, всероссийских, м</w:t>
      </w:r>
      <w:r>
        <w:rPr>
          <w:rFonts w:ascii="Times New Roman" w:hAnsi="Times New Roman"/>
          <w:sz w:val="28"/>
          <w:szCs w:val="28"/>
          <w:highlight w:val="white"/>
        </w:rPr>
        <w:t xml:space="preserve">ежрегиональных официальных физкультурных мероприятий и спортивных мероприятий (Департамент физической культуры и спорта Ханты-Мансийского автономного округа – Югры, </w:t>
      </w:r>
      <w:r>
        <w:rPr>
          <w:rFonts w:ascii="Times New Roman" w:hAnsi="Times New Roman"/>
          <w:bCs/>
          <w:sz w:val="28"/>
          <w:szCs w:val="28"/>
          <w:highlight w:val="white"/>
          <w:lang w:eastAsia="ru-RU"/>
        </w:rPr>
        <w:t xml:space="preserve">предупреждение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не исполнено </w:t>
        <w:br/>
        <w:t xml:space="preserve">в установленный срок).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36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 целью минимизации рисков совершения исполнительными органами и ОМСУ нарушений антимонопольного законодательства необходимо усилить контроль за содержанием конкурсной документации, договоров (соглашений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), учредительных и иных документов в целях исключения в них положений, которые могут привести к недопущению, нарушению, устранению конкуренции, а также за соблюдением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обязательных процедур и требований при заключении договоров (соглашений).</w:t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/>
          <w:b/>
          <w:sz w:val="28"/>
          <w:szCs w:val="28"/>
          <w:highlight w:val="white"/>
          <w:lang w:val="en-US" w:eastAsia="ru-RU"/>
        </w:rPr>
        <w:t xml:space="preserve">IV</w:t>
      </w:r>
      <w:r>
        <w:rPr>
          <w:rFonts w:ascii="Times New Roman" w:hAnsi="Times New Roman" w:eastAsia="Times New Roman"/>
          <w:b/>
          <w:sz w:val="28"/>
          <w:szCs w:val="28"/>
          <w:highlight w:val="white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О выявлении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и оценке рисков нарушения антимонопольного законодательства</w:t>
      </w:r>
      <w:r>
        <w:rPr>
          <w:highlight w:val="white"/>
        </w:rPr>
      </w:r>
      <w:r>
        <w:rPr>
          <w:highlight w:val="white"/>
        </w:rPr>
      </w:r>
    </w:p>
    <w:p>
      <w:pPr>
        <w:ind w:left="709"/>
        <w:jc w:val="both"/>
        <w:spacing w:after="0" w:line="360" w:lineRule="auto"/>
        <w:rPr>
          <w:rFonts w:ascii="Times New Roman" w:hAnsi="Times New Roman" w:eastAsia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/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В 2024 году Департаментом экономического развития автономного округа проведено 1058 экспертиз проектов нормативных правовых актов, 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br w:type="textWrapping" w:clear="all"/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в том числе подготовленных исполнительными органами – 941</w:t>
      </w:r>
      <w:r>
        <w:rPr>
          <w:rStyle w:val="1080"/>
          <w:rFonts w:ascii="Times New Roman" w:hAnsi="Times New Roman"/>
          <w:color w:val="00000a"/>
          <w:sz w:val="28"/>
          <w:szCs w:val="28"/>
          <w:highlight w:val="white"/>
          <w:lang w:eastAsia="en-US"/>
        </w:rPr>
        <w:footnoteReference w:id="4"/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br w:type="textWrapping" w:clear="all"/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О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МСУ – 117. При проведении экспертизы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выявлены положения, содержащие возможные риски нарушения антимонопольного законодательс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тва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в 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49 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проектах нормативных правовых актов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, в том числе в проектах нормативных правовых актов, подготовленных исполнительными орг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анами –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 35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, ОМ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СУ –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14</w:t>
      </w:r>
      <w:r>
        <w:rPr>
          <w:rStyle w:val="1080"/>
          <w:rFonts w:ascii="Times New Roman" w:hAnsi="Times New Roman"/>
          <w:sz w:val="28"/>
          <w:szCs w:val="28"/>
          <w:highlight w:val="white"/>
          <w:lang w:eastAsia="ru-RU"/>
        </w:rPr>
        <w:footnoteReference w:id="5"/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color w:val="00000a"/>
          <w:sz w:val="28"/>
          <w:szCs w:val="28"/>
          <w:highlight w:val="white"/>
        </w:rPr>
      </w:r>
      <w:r>
        <w:rPr>
          <w:rFonts w:ascii="Times New Roman" w:hAnsi="Times New Roman"/>
          <w:color w:val="00000a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Также проведен анализ 57 действующих нормативных правовых актов муниципальных образований автономного округа (с учетом предложений ОМСУ), из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них в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9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нор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мативных правовых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 актах установлены положения, содержащие возможные риски нарушения </w:t>
      </w: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антимонопольного законодательства.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Во исполнение пункта 7 раздела III приложения 2 </w:t>
      </w:r>
      <w:r>
        <w:rPr>
          <w:rFonts w:ascii="Times New Roman" w:hAnsi="Times New Roman" w:eastAsia="Times New Roman"/>
          <w:sz w:val="28"/>
          <w:szCs w:val="28"/>
          <w:highlight w:val="white"/>
        </w:rPr>
        <w:br/>
        <w:t xml:space="preserve">к межведомственной программе мер по выявлению и пресечению </w:t>
      </w:r>
      <w:r>
        <w:rPr>
          <w:rFonts w:ascii="Times New Roman" w:hAnsi="Times New Roman" w:eastAsia="Times New Roman"/>
          <w:sz w:val="28"/>
          <w:szCs w:val="28"/>
          <w:highlight w:val="white"/>
        </w:rPr>
        <w:br/>
        <w:t xml:space="preserve">картелей и иных ограничивающих конкуренцию с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оглашений </w:t>
      </w:r>
      <w:r>
        <w:rPr>
          <w:rFonts w:ascii="Times New Roman" w:hAnsi="Times New Roman" w:eastAsia="Times New Roman"/>
          <w:sz w:val="28"/>
          <w:szCs w:val="28"/>
          <w:highlight w:val="white"/>
        </w:rPr>
        <w:br/>
        <w:t xml:space="preserve">на 2024-2028 годы</w:t>
      </w:r>
      <w:r>
        <w:rPr>
          <w:rFonts w:ascii="Times New Roman" w:hAnsi="Times New Roman" w:eastAsia="Times New Roman"/>
          <w:sz w:val="28"/>
          <w:szCs w:val="28"/>
          <w:highlight w:val="white"/>
          <w:vertAlign w:val="superscript"/>
        </w:rPr>
        <w:footnoteReference w:id="6"/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проведен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анализ 63 муниципальных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нормативных правовых актов 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на предмет наличия положений, ограничивающих конкуренц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ию и способствующих скрытой монополизации экономики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  <w:br/>
        <w:t xml:space="preserve">из них в 25 нормативн</w:t>
      </w:r>
      <w:r>
        <w:rPr>
          <w:rFonts w:ascii="Times New Roman" w:hAnsi="Times New Roman"/>
          <w:sz w:val="28"/>
          <w:szCs w:val="28"/>
          <w:highlight w:val="white"/>
        </w:rPr>
        <w:t xml:space="preserve">ых</w:t>
      </w:r>
      <w:r>
        <w:rPr>
          <w:rFonts w:ascii="Times New Roman" w:hAnsi="Times New Roman"/>
          <w:sz w:val="28"/>
          <w:szCs w:val="28"/>
          <w:highlight w:val="white"/>
        </w:rPr>
        <w:t xml:space="preserve"> правов</w:t>
      </w:r>
      <w:r>
        <w:rPr>
          <w:rFonts w:ascii="Times New Roman" w:hAnsi="Times New Roman"/>
          <w:sz w:val="28"/>
          <w:szCs w:val="28"/>
          <w:highlight w:val="white"/>
        </w:rPr>
        <w:t xml:space="preserve">ых</w:t>
      </w:r>
      <w:r>
        <w:rPr>
          <w:rFonts w:ascii="Times New Roman" w:hAnsi="Times New Roman"/>
          <w:sz w:val="28"/>
          <w:szCs w:val="28"/>
          <w:highlight w:val="white"/>
        </w:rPr>
        <w:t xml:space="preserve"> а</w:t>
      </w:r>
      <w:r>
        <w:rPr>
          <w:rFonts w:ascii="Times New Roman" w:hAnsi="Times New Roman"/>
          <w:sz w:val="28"/>
          <w:szCs w:val="28"/>
          <w:highlight w:val="white"/>
        </w:rPr>
        <w:t xml:space="preserve">кт</w:t>
      </w:r>
      <w:r>
        <w:rPr>
          <w:rFonts w:ascii="Times New Roman" w:hAnsi="Times New Roman"/>
          <w:sz w:val="28"/>
          <w:szCs w:val="28"/>
          <w:highlight w:val="white"/>
        </w:rPr>
        <w:t xml:space="preserve">ах</w:t>
      </w:r>
      <w:r>
        <w:rPr>
          <w:rFonts w:ascii="Times New Roman" w:hAnsi="Times New Roman"/>
          <w:sz w:val="28"/>
          <w:szCs w:val="28"/>
          <w:highlight w:val="white"/>
        </w:rPr>
        <w:t xml:space="preserve"> в</w:t>
      </w:r>
      <w:r>
        <w:rPr>
          <w:rFonts w:ascii="Times New Roman" w:hAnsi="Times New Roman"/>
          <w:sz w:val="28"/>
          <w:szCs w:val="28"/>
          <w:highlight w:val="white"/>
        </w:rPr>
        <w:t xml:space="preserve">ыявлены указанные положения.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Разработчикам нормативных правовых актов направлены рекомендации по устранению выявленных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 рисков.</w:t>
      </w:r>
      <w:r>
        <w:rPr>
          <w:rFonts w:ascii="Times New Roman" w:hAnsi="Times New Roman"/>
          <w:color w:val="00000a"/>
          <w:sz w:val="28"/>
          <w:szCs w:val="28"/>
          <w:highlight w:val="white"/>
        </w:rPr>
      </w:r>
      <w:r>
        <w:rPr>
          <w:rFonts w:ascii="Times New Roman" w:hAnsi="Times New Roman"/>
          <w:color w:val="00000a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В 2024 году </w:t>
      </w:r>
      <w:r>
        <w:rPr>
          <w:rFonts w:ascii="Times New Roman" w:hAnsi="Times New Roman"/>
          <w:sz w:val="28"/>
          <w:szCs w:val="28"/>
          <w:highlight w:val="white"/>
        </w:rPr>
        <w:t xml:space="preserve">Управлением Федеральной антимонопольной службы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по автон</w:t>
      </w:r>
      <w:r>
        <w:rPr>
          <w:rFonts w:ascii="Times New Roman" w:hAnsi="Times New Roman"/>
          <w:sz w:val="28"/>
          <w:szCs w:val="28"/>
          <w:highlight w:val="white"/>
        </w:rPr>
        <w:t xml:space="preserve">омному округу в деятельности исполнительных органов и ОМ</w:t>
      </w:r>
      <w:r>
        <w:rPr>
          <w:rFonts w:ascii="Times New Roman" w:hAnsi="Times New Roman"/>
          <w:sz w:val="28"/>
          <w:szCs w:val="28"/>
          <w:highlight w:val="white"/>
        </w:rPr>
        <w:t xml:space="preserve">СУ  выявлено </w:t>
      </w:r>
      <w:r>
        <w:rPr>
          <w:rFonts w:ascii="Times New Roman" w:hAnsi="Times New Roman"/>
          <w:sz w:val="28"/>
          <w:szCs w:val="28"/>
          <w:highlight w:val="white"/>
        </w:rPr>
        <w:t xml:space="preserve">2 нарушения </w:t>
      </w:r>
      <w:r>
        <w:rPr>
          <w:rFonts w:ascii="Times New Roman" w:hAnsi="Times New Roman"/>
          <w:sz w:val="28"/>
          <w:szCs w:val="28"/>
          <w:highlight w:val="white"/>
        </w:rPr>
        <w:t xml:space="preserve">антимонопольного законодательства </w:t>
      </w:r>
      <w:r>
        <w:rPr>
          <w:rFonts w:ascii="Times New Roman" w:hAnsi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/>
          <w:sz w:val="28"/>
          <w:szCs w:val="28"/>
          <w:highlight w:val="white"/>
        </w:rPr>
        <w:t xml:space="preserve">частей 1, 3 статьи 17 Федерального закона № 135-ФЗ</w:t>
      </w:r>
      <w:r>
        <w:rPr>
          <w:rFonts w:ascii="Times New Roman" w:hAnsi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/>
          <w:sz w:val="28"/>
          <w:szCs w:val="28"/>
          <w:highlight w:val="white"/>
        </w:rPr>
        <w:t xml:space="preserve">, а также</w:t>
      </w:r>
      <w:r>
        <w:rPr>
          <w:rFonts w:ascii="Times New Roman" w:hAnsi="Times New Roman"/>
          <w:sz w:val="28"/>
          <w:szCs w:val="28"/>
          <w:highlight w:val="white"/>
        </w:rPr>
        <w:t xml:space="preserve"> установлено 5 фактов совершения действий (бездействий), которые содержат признаки нарушения антимонопольного зак</w:t>
      </w:r>
      <w:r>
        <w:rPr>
          <w:rFonts w:ascii="Times New Roman" w:hAnsi="Times New Roman"/>
          <w:sz w:val="28"/>
          <w:szCs w:val="28"/>
          <w:highlight w:val="white"/>
        </w:rPr>
        <w:t xml:space="preserve">онодательства и могут п</w:t>
      </w:r>
      <w:r>
        <w:rPr>
          <w:rFonts w:ascii="Times New Roman" w:hAnsi="Times New Roman"/>
          <w:sz w:val="28"/>
          <w:szCs w:val="28"/>
          <w:highlight w:val="white"/>
        </w:rPr>
        <w:t xml:space="preserve">ривести к такому нарушению (части 1, 3 статьи 15 Федерального закона № 135-ФЗ).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 трехлетний период функционирования антимонопольного комплаенса состав нарушений имеет непостоянный характер.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До 2022 года включительно Управлением Федеральной антимонопольно</w:t>
      </w:r>
      <w:r>
        <w:rPr>
          <w:rFonts w:ascii="Times New Roman" w:hAnsi="Times New Roman"/>
          <w:sz w:val="28"/>
          <w:szCs w:val="28"/>
          <w:highlight w:val="white"/>
        </w:rPr>
        <w:t xml:space="preserve">й службы по автономному округу преимущественное  количество нарушений фиксировалось в деятельности исполнительных органов и ОМСУ при осуществлении закупок товаров, работ и услуг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для государственных и муниципальных нужд, то есть наруш</w:t>
      </w:r>
      <w:r>
        <w:rPr>
          <w:rFonts w:ascii="Times New Roman" w:hAnsi="Times New Roman"/>
          <w:sz w:val="28"/>
          <w:szCs w:val="28"/>
          <w:highlight w:val="white"/>
        </w:rPr>
        <w:t xml:space="preserve">ени</w:t>
      </w:r>
      <w:r>
        <w:rPr>
          <w:rFonts w:ascii="Times New Roman" w:hAnsi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обязательных треб</w:t>
      </w:r>
      <w:r>
        <w:rPr>
          <w:rFonts w:ascii="Times New Roman" w:hAnsi="Times New Roman"/>
          <w:sz w:val="28"/>
          <w:szCs w:val="28"/>
          <w:highlight w:val="white"/>
        </w:rPr>
        <w:t xml:space="preserve">ований, предусмотренных законодательством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о контрактной системе.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 2023 год нарушения в сфере закупок товаров, работ, услуг, </w:t>
      </w:r>
      <w:r>
        <w:rPr>
          <w:rFonts w:ascii="Times New Roman" w:hAnsi="Times New Roman"/>
          <w:sz w:val="28"/>
          <w:szCs w:val="28"/>
          <w:highlight w:val="white"/>
        </w:rPr>
        <w:t xml:space="preserve">отсутствуют.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</w:rPr>
        <w:t xml:space="preserve">В 2024 году антимонопольным органом выявлены признаки нарушения</w:t>
      </w:r>
      <w:r>
        <w:rPr>
          <w:rFonts w:ascii="Times New Roman" w:hAnsi="Times New Roman" w:eastAsia="Arial"/>
          <w:color w:val="000000"/>
          <w:sz w:val="28"/>
          <w:szCs w:val="28"/>
          <w:highlight w:val="white"/>
        </w:rPr>
        <w:t xml:space="preserve"> антимонопольных требований: к торгам, </w:t>
      </w:r>
      <w:r>
        <w:rPr>
          <w:rFonts w:ascii="Times New Roman" w:hAnsi="Times New Roman" w:eastAsia="Arial"/>
          <w:color w:val="000000"/>
          <w:sz w:val="28"/>
          <w:szCs w:val="28"/>
          <w:highlight w:val="white"/>
        </w:rPr>
        <w:t xml:space="preserve">а также </w:t>
      </w:r>
      <w:r>
        <w:rPr>
          <w:rFonts w:ascii="Times New Roman" w:hAnsi="Times New Roman"/>
          <w:sz w:val="28"/>
          <w:szCs w:val="28"/>
          <w:highlight w:val="white"/>
        </w:rPr>
        <w:t xml:space="preserve">допуск </w:t>
        <w:br/>
        <w:t xml:space="preserve">к участию и признании победителем конкурса</w:t>
      </w:r>
      <w:r>
        <w:rPr>
          <w:rFonts w:ascii="Times New Roman" w:hAnsi="Times New Roman"/>
          <w:sz w:val="28"/>
          <w:szCs w:val="28"/>
          <w:highlight w:val="white"/>
        </w:rPr>
        <w:t xml:space="preserve"> организации, </w:t>
        <w:br/>
        <w:t xml:space="preserve">не соответствующей заявленным критериям и требованиям, </w:t>
        <w:br/>
        <w:t xml:space="preserve">при предоставлении мер государственной поддержки, по которым </w:t>
      </w:r>
      <w:r>
        <w:rPr>
          <w:rFonts w:ascii="Times New Roman" w:hAnsi="Times New Roman"/>
          <w:sz w:val="28"/>
          <w:szCs w:val="28"/>
          <w:highlight w:val="white"/>
        </w:rPr>
        <w:t xml:space="preserve">вынесены соответствующие решения.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Указанное свидетельствует о необходимости обеспечения постоянного контроля за исполнением требований законодательства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в сфере закупок для государственных и муниципальных нужд;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за соблюдением требований антимонопольного з</w:t>
      </w:r>
      <w:r>
        <w:rPr>
          <w:rFonts w:ascii="Times New Roman" w:hAnsi="Times New Roman"/>
          <w:sz w:val="28"/>
          <w:szCs w:val="28"/>
          <w:highlight w:val="white"/>
        </w:rPr>
        <w:t xml:space="preserve">аконодательства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при разработке и принятии правовых актов, </w:t>
      </w:r>
      <w:r>
        <w:rPr>
          <w:rFonts w:ascii="Times New Roman" w:hAnsi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/>
          <w:sz w:val="28"/>
          <w:szCs w:val="28"/>
          <w:highlight w:val="white"/>
        </w:rPr>
        <w:t xml:space="preserve">е н</w:t>
      </w:r>
      <w:r>
        <w:rPr>
          <w:rFonts w:ascii="Times New Roman" w:hAnsi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сящих нормативный характер, и оформлении иных документов, реализация которых оказывает (может оказать) влияние на хозяйственную деятельность субъектов предпринимательской деятельности, а также</w:t>
      </w:r>
      <w:r>
        <w:rPr>
          <w:rFonts w:ascii="Times New Roman" w:hAnsi="Times New Roman"/>
          <w:sz w:val="28"/>
          <w:szCs w:val="28"/>
          <w:highlight w:val="white"/>
        </w:rPr>
        <w:t xml:space="preserve"> некоммерческих организаций, как участников экономической деятельности; за соблюдением обязательных требований антимонопольного законодательства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и законодательства Российской Федерации, в том числе при  проведении конкурентных процедур (торгов)</w:t>
      </w:r>
      <w:r>
        <w:rPr>
          <w:rFonts w:ascii="Times New Roman" w:hAnsi="Times New Roman"/>
          <w:sz w:val="28"/>
          <w:szCs w:val="28"/>
          <w:highlight w:val="white"/>
        </w:rPr>
        <w:t xml:space="preserve">, а также в</w:t>
      </w:r>
      <w:r>
        <w:rPr>
          <w:rFonts w:ascii="Times New Roman" w:hAnsi="Times New Roman"/>
          <w:sz w:val="28"/>
          <w:szCs w:val="28"/>
          <w:highlight w:val="white"/>
        </w:rPr>
        <w:t xml:space="preserve">ажности принятия соответствующих </w:t>
      </w:r>
      <w:r>
        <w:rPr>
          <w:rFonts w:ascii="Times New Roman" w:hAnsi="Times New Roman"/>
          <w:sz w:val="28"/>
          <w:szCs w:val="28"/>
          <w:highlight w:val="white"/>
        </w:rPr>
        <w:t xml:space="preserve">мер по их предотвращению и недопущению.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К типовым рискам нарушения антимонопольного законодательства, а также услов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иям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,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 способствующим их возникновению, выявляемым Департаментом экономического развития автономного округа 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br/>
        <w:t xml:space="preserve">п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t xml:space="preserve">ри проведении экспертизы проектов нормативных правовых актов </w:t>
      </w:r>
      <w:r>
        <w:rPr>
          <w:rFonts w:ascii="Times New Roman" w:hAnsi="Times New Roman"/>
          <w:color w:val="00000a"/>
          <w:sz w:val="28"/>
          <w:szCs w:val="28"/>
          <w:highlight w:val="white"/>
          <w:lang w:eastAsia="en-US"/>
        </w:rPr>
        <w:br/>
        <w:t xml:space="preserve">и анализа действующих нормативных правовых актов, относятся: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40"/>
        <w:jc w:val="both"/>
        <w:spacing w:after="0" w:line="360" w:lineRule="auto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</w:rPr>
        <w:t xml:space="preserve">– предоставление конкретному хозяйствующему субъекту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преимущества, которое обеспечивает ему более выгодные условия деятельности</w:t>
      </w:r>
      <w:r>
        <w:rPr>
          <w:rFonts w:ascii="Times New Roman" w:hAnsi="Times New Roman"/>
          <w:sz w:val="28"/>
          <w:szCs w:val="28"/>
          <w:highlight w:val="white"/>
        </w:rPr>
        <w:t xml:space="preserve">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" w:firstLine="567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несоблюдение условий предоставления мер государственной поддержки (преференции) конкретному субъекту товарного рынка, предусмотренных частью 3 статьи 19 Федерального закона № 135-ФЗ;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-1" w:firstLine="567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требование о предоставлении документов, которые невозможно предостави</w:t>
      </w:r>
      <w:r>
        <w:rPr>
          <w:rFonts w:ascii="Times New Roman" w:hAnsi="Times New Roman"/>
          <w:sz w:val="28"/>
          <w:szCs w:val="28"/>
          <w:highlight w:val="white"/>
        </w:rPr>
        <w:t xml:space="preserve">ть в связи с отсутствием законодательно закрепленного требования об их выдаче на бумажном носителе;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-1" w:firstLine="567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ограничение права участников отбора на получение субсидии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на одни и те же цели в нескольких муниципальных образованиях автономного округа, при условии о</w:t>
      </w:r>
      <w:r>
        <w:rPr>
          <w:rFonts w:ascii="Times New Roman" w:hAnsi="Times New Roman"/>
          <w:sz w:val="28"/>
          <w:szCs w:val="28"/>
          <w:highlight w:val="white"/>
        </w:rPr>
        <w:t xml:space="preserve">существления деятельности (наличие обособленных структурных подразделений) в нескольких муниципальных </w:t>
      </w:r>
      <w:r>
        <w:rPr>
          <w:rFonts w:ascii="Times New Roman" w:hAnsi="Times New Roman"/>
          <w:sz w:val="28"/>
          <w:szCs w:val="28"/>
          <w:highlight w:val="white"/>
        </w:rPr>
        <w:t xml:space="preserve">образованиях автономного округа;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-1" w:firstLine="567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требование к участникам отбора о регистрации на территории отдельного муниципального образования автономного округа;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-1" w:firstLine="567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/>
          <w:sz w:val="28"/>
          <w:szCs w:val="28"/>
          <w:highlight w:val="white"/>
        </w:rPr>
        <w:t xml:space="preserve"> предоставление преференций организациям, осуществляющим деятельность исключительно в социально значимых направлениях;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-1" w:firstLine="567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в нормативных правовых актах, регулирующих размещение нестационарных торговых объектов в автономном округе, не учтена такая категория </w:t>
      </w:r>
      <w:r>
        <w:rPr>
          <w:rFonts w:ascii="Times New Roman" w:hAnsi="Times New Roman"/>
          <w:sz w:val="28"/>
          <w:szCs w:val="28"/>
          <w:highlight w:val="white"/>
        </w:rPr>
        <w:t xml:space="preserve">заявителей, как физические лица, применяющие специальный налоговый режим «Налог на профессиональный доход»;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-1" w:firstLine="567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несоблюдение (соблюдение не в полной мере) общих требований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к нормативным правовым актам, муниципальным правовым актам, регулирующим предоставле</w:t>
      </w:r>
      <w:r>
        <w:rPr>
          <w:rFonts w:ascii="Times New Roman" w:hAnsi="Times New Roman"/>
          <w:sz w:val="28"/>
          <w:szCs w:val="28"/>
          <w:highlight w:val="white"/>
        </w:rPr>
        <w:t xml:space="preserve">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а также физическим лицам – производителям товаров, работ, услуг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и проведение отборов полу</w:t>
      </w:r>
      <w:r>
        <w:rPr>
          <w:rFonts w:ascii="Times New Roman" w:hAnsi="Times New Roman"/>
          <w:sz w:val="28"/>
          <w:szCs w:val="28"/>
          <w:highlight w:val="white"/>
        </w:rPr>
        <w:t xml:space="preserve">чателей указанных субсидий, в том числе грантов в форме субсидий, утвержденных постановлением Правительства Российской Федерации от 25.10.2023 № 1782</w:t>
      </w:r>
      <w:r>
        <w:rPr>
          <w:rFonts w:ascii="Times New Roman" w:hAnsi="Times New Roman"/>
          <w:sz w:val="28"/>
          <w:szCs w:val="28"/>
          <w:highlight w:val="white"/>
          <w:vertAlign w:val="superscript"/>
        </w:rPr>
        <w:footnoteReference w:id="7"/>
      </w:r>
      <w:r>
        <w:rPr>
          <w:rFonts w:ascii="Times New Roman" w:hAnsi="Times New Roman"/>
          <w:sz w:val="28"/>
          <w:szCs w:val="28"/>
          <w:highlight w:val="white"/>
        </w:rPr>
        <w:t xml:space="preserve">;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-1" w:firstLine="567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несоблюдение требований нормативных правовых актов Российской Федерации (включая ведомственные) и авт</w:t>
      </w:r>
      <w:r>
        <w:rPr>
          <w:rFonts w:ascii="Times New Roman" w:hAnsi="Times New Roman"/>
          <w:sz w:val="28"/>
          <w:szCs w:val="28"/>
          <w:highlight w:val="white"/>
        </w:rPr>
        <w:t xml:space="preserve">ономного округа, регулирующих вопросы в сфере которой разрабатывается нормативный правовой акт автономного округа и органа местного самоуправления муниципального образования автономного округа, а</w:t>
      </w:r>
      <w:r>
        <w:rPr>
          <w:rFonts w:ascii="Times New Roman" w:hAnsi="Times New Roman"/>
          <w:sz w:val="28"/>
          <w:szCs w:val="28"/>
          <w:highlight w:val="white"/>
        </w:rPr>
        <w:t xml:space="preserve"> также н</w:t>
      </w:r>
      <w:r>
        <w:rPr>
          <w:rFonts w:ascii="Times New Roman" w:hAnsi="Times New Roman"/>
          <w:sz w:val="28"/>
          <w:szCs w:val="28"/>
          <w:highlight w:val="white"/>
        </w:rPr>
        <w:t xml:space="preserve">еп</w:t>
      </w:r>
      <w:r>
        <w:rPr>
          <w:rFonts w:ascii="Times New Roman" w:hAnsi="Times New Roman"/>
          <w:sz w:val="28"/>
          <w:szCs w:val="28"/>
          <w:highlight w:val="white"/>
        </w:rPr>
        <w:t xml:space="preserve">ри</w:t>
      </w:r>
      <w:r>
        <w:rPr>
          <w:rFonts w:ascii="Times New Roman" w:hAnsi="Times New Roman"/>
          <w:sz w:val="28"/>
          <w:szCs w:val="28"/>
          <w:highlight w:val="white"/>
        </w:rPr>
        <w:t xml:space="preserve">ведение </w:t>
        <w:br/>
        <w:t xml:space="preserve">в соответствие указанных актов в случае </w:t>
      </w:r>
      <w:r>
        <w:rPr>
          <w:rFonts w:ascii="Times New Roman" w:hAnsi="Times New Roman"/>
          <w:sz w:val="28"/>
          <w:szCs w:val="28"/>
          <w:highlight w:val="white"/>
        </w:rPr>
        <w:t xml:space="preserve">внесения изменений </w:t>
        <w:br/>
        <w:t xml:space="preserve">в нормативные правовые акты федерального и регионального уровней;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-1" w:firstLine="567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отсутствие в нормативных правовых актах положений, </w:t>
      </w:r>
      <w:r>
        <w:rPr>
          <w:rFonts w:ascii="Times New Roman" w:hAnsi="Times New Roman"/>
          <w:sz w:val="28"/>
          <w:szCs w:val="28"/>
          <w:highlight w:val="white"/>
        </w:rPr>
        <w:t xml:space="preserve">предусматривающих подробный алгоритм взаимодействия участников правового регулирования (например: сроки, способ взаим</w:t>
      </w:r>
      <w:r>
        <w:rPr>
          <w:rFonts w:ascii="Times New Roman" w:hAnsi="Times New Roman"/>
          <w:sz w:val="28"/>
          <w:szCs w:val="28"/>
          <w:highlight w:val="white"/>
        </w:rPr>
        <w:t xml:space="preserve">одействия, который принимается сторонами взаимодействия как возможный </w:t>
        <w:br/>
        <w:t xml:space="preserve">и достоверный);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-1" w:firstLine="567"/>
        <w:jc w:val="both"/>
        <w:spacing w:after="0" w:line="360" w:lineRule="auto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в нормативных правовых актах установлены избыточные требования к документам, в том числ</w:t>
      </w:r>
      <w:r>
        <w:rPr>
          <w:rFonts w:ascii="Times New Roman" w:hAnsi="Times New Roman"/>
          <w:sz w:val="28"/>
          <w:szCs w:val="28"/>
          <w:highlight w:val="white"/>
        </w:rPr>
        <w:t xml:space="preserve">е </w:t>
      </w:r>
      <w:r>
        <w:rPr>
          <w:rFonts w:ascii="Times New Roman" w:hAnsi="Times New Roman"/>
          <w:sz w:val="28"/>
          <w:szCs w:val="28"/>
          <w:highlight w:val="white"/>
        </w:rPr>
        <w:t xml:space="preserve">находящихся</w:t>
      </w:r>
      <w:r>
        <w:rPr>
          <w:rFonts w:ascii="Times New Roman" w:hAnsi="Times New Roman"/>
          <w:sz w:val="28"/>
          <w:szCs w:val="28"/>
          <w:highlight w:val="white"/>
        </w:rPr>
        <w:t xml:space="preserve"> в распоряжении федеральных и государственных орга</w:t>
      </w:r>
      <w:r>
        <w:rPr>
          <w:rFonts w:ascii="Times New Roman" w:hAnsi="Times New Roman"/>
          <w:sz w:val="28"/>
          <w:szCs w:val="28"/>
          <w:highlight w:val="white"/>
        </w:rPr>
        <w:t xml:space="preserve">нов, органов местного самоуправления, либо подведомственных государственным органам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или органам местного самоуправления организаций (например</w:t>
      </w:r>
      <w:r>
        <w:rPr>
          <w:rFonts w:ascii="Times New Roman" w:hAnsi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</w:rPr>
        <w:t xml:space="preserve"> тр</w:t>
      </w:r>
      <w:r>
        <w:rPr>
          <w:rFonts w:ascii="Times New Roman" w:hAnsi="Times New Roman"/>
          <w:sz w:val="28"/>
          <w:szCs w:val="28"/>
          <w:highlight w:val="white"/>
        </w:rPr>
        <w:t xml:space="preserve">ебования о предоставлении: нотариально заверенных документов, «копии лицензии», «копии паспорта гражданина Росс</w:t>
      </w:r>
      <w:r>
        <w:rPr>
          <w:rFonts w:ascii="Times New Roman" w:hAnsi="Times New Roman"/>
          <w:sz w:val="28"/>
          <w:szCs w:val="28"/>
          <w:highlight w:val="white"/>
        </w:rPr>
        <w:t xml:space="preserve">ийской Федерации», учредительных документов, заявки на бланке некоммерческой организации, а также установлены требования о заверении документов печатью); 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ind w:right="-1" w:firstLine="567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отсутствие положений, конкретизирующих порядок регистрации изменений в ранее поданное заявление, а </w:t>
      </w:r>
      <w:r>
        <w:rPr>
          <w:rFonts w:ascii="Times New Roman" w:hAnsi="Times New Roman"/>
          <w:sz w:val="28"/>
          <w:szCs w:val="28"/>
          <w:highlight w:val="white"/>
        </w:rPr>
        <w:t xml:space="preserve">также условие, что внесение изменений в заявку участника отбора не влияет на очередность рассмотрения ранее поданной им заявки;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-1" w:firstLine="567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отсутствие положений, конкретизирующих порядок и сроки взаимодействия сторон отбора, при подписании Соглашения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о предоставле</w:t>
      </w:r>
      <w:r>
        <w:rPr>
          <w:rFonts w:ascii="Times New Roman" w:hAnsi="Times New Roman"/>
          <w:sz w:val="28"/>
          <w:szCs w:val="28"/>
          <w:highlight w:val="white"/>
        </w:rPr>
        <w:t xml:space="preserve">нии субсидии;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-1" w:firstLine="567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не установлен исчерпывающий перечень документов, а также д</w:t>
      </w:r>
      <w:r>
        <w:rPr>
          <w:rFonts w:ascii="Times New Roman" w:hAnsi="Times New Roman"/>
          <w:sz w:val="28"/>
          <w:szCs w:val="28"/>
          <w:highlight w:val="white"/>
        </w:rPr>
        <w:t xml:space="preserve">опускается использование формулировки «иные документы», предоставляемые заявителем для участия в отборе (не позволяет уяснить какие документы</w:t>
      </w:r>
      <w:r>
        <w:rPr>
          <w:rFonts w:ascii="Times New Roman" w:hAnsi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</w:rPr>
        <w:t xml:space="preserve"> помимо уже указанных</w:t>
      </w:r>
      <w:r>
        <w:rPr>
          <w:rFonts w:ascii="Times New Roman" w:hAnsi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</w:rPr>
        <w:t xml:space="preserve"> будут подтверждать</w:t>
      </w:r>
      <w:r>
        <w:rPr>
          <w:rFonts w:ascii="Times New Roman" w:hAnsi="Times New Roman"/>
          <w:sz w:val="28"/>
          <w:szCs w:val="28"/>
          <w:highlight w:val="white"/>
        </w:rPr>
        <w:t xml:space="preserve"> произведенные затраты, а какие нет, что</w:t>
      </w:r>
      <w:r>
        <w:rPr>
          <w:rFonts w:ascii="Times New Roman" w:hAnsi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</w:rPr>
        <w:t xml:space="preserve"> в свою очередь</w:t>
      </w:r>
      <w:r>
        <w:rPr>
          <w:rFonts w:ascii="Times New Roman" w:hAnsi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</w:rPr>
        <w:t xml:space="preserve"> представляет собой неопределенность оснований принятия решения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должностным лицом, то есть широту дискреционных полномочий);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right="-1" w:firstLine="567"/>
        <w:jc w:val="both"/>
        <w:spacing w:after="0" w:line="360" w:lineRule="auto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 в нормативных правовых актах при наличии балльной оценочной </w:t>
      </w:r>
      <w:r>
        <w:rPr>
          <w:rFonts w:ascii="Times New Roman" w:hAnsi="Times New Roman"/>
          <w:sz w:val="28"/>
          <w:szCs w:val="28"/>
          <w:highlight w:val="white"/>
        </w:rPr>
        <w:t xml:space="preserve">шкалы предусм</w:t>
      </w:r>
      <w:r>
        <w:rPr>
          <w:rFonts w:ascii="Times New Roman" w:hAnsi="Times New Roman"/>
          <w:sz w:val="28"/>
          <w:szCs w:val="28"/>
          <w:highlight w:val="white"/>
        </w:rPr>
        <w:t xml:space="preserve">отрено право предоставления участниками отбора дополнительных материалов, при этом не определен порядок их учета </w:t>
        <w:br/>
        <w:t xml:space="preserve">и оценки. 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ind w:right="-1" w:firstLine="567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val="en-US"/>
        </w:rPr>
        <w:t xml:space="preserve">V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. Результаты оценки эффективности функционирования антимонопольного комплаенса </w:t>
      </w:r>
      <w:r>
        <w:rPr>
          <w:rFonts w:ascii="Times New Roman" w:hAnsi="Times New Roman"/>
          <w:b/>
          <w:sz w:val="28"/>
          <w:szCs w:val="28"/>
          <w:highlight w:val="white"/>
        </w:rPr>
        <w:br/>
        <w:t xml:space="preserve">в Ханты-Мансийском автономном округе – Югре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center"/>
        <w:spacing w:after="0" w:line="36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Оценка эффективности функционирования антимонопольного комплаенса в автономном округе проведена в соответствии с Методикой расчета ключевых показателей эффективности функционирования антимонопольного комплаенса в автономном округе (далее – Методика), утвер</w:t>
      </w:r>
      <w:r>
        <w:rPr>
          <w:rFonts w:ascii="Times New Roman" w:hAnsi="Times New Roman"/>
          <w:sz w:val="28"/>
          <w:szCs w:val="28"/>
          <w:highlight w:val="white"/>
        </w:rPr>
        <w:t xml:space="preserve">жденной приказом Департамента экономического развития автономного округа от 7 февраля 2019 года № 21 «Об антимонопольном комплаенсе в Ханты-Мансийском автономном округе – Югре» (в редакции от 22 декабря 2023 года</w:t>
      </w:r>
      <w:r>
        <w:rPr>
          <w:rStyle w:val="1080"/>
          <w:rFonts w:ascii="Times New Roman" w:hAnsi="Times New Roman"/>
          <w:sz w:val="28"/>
          <w:szCs w:val="28"/>
          <w:highlight w:val="white"/>
        </w:rPr>
        <w:footnoteReference w:id="8"/>
      </w:r>
      <w:r>
        <w:rPr>
          <w:rFonts w:ascii="Times New Roman" w:hAnsi="Times New Roman"/>
          <w:sz w:val="28"/>
          <w:szCs w:val="28"/>
          <w:highlight w:val="white"/>
        </w:rPr>
        <w:t xml:space="preserve">).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2024 году установлены следующие значен</w:t>
      </w:r>
      <w:r>
        <w:rPr>
          <w:rFonts w:ascii="Times New Roman" w:hAnsi="Times New Roman"/>
          <w:sz w:val="28"/>
          <w:szCs w:val="28"/>
          <w:highlight w:val="white"/>
        </w:rPr>
        <w:t xml:space="preserve">ия ключевых показателей эффективности антимонопольного комплаенса в автономном округе: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1. Общее количество нарушений антимонопольного законодательства в автономном округе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отчетном году Упра</w:t>
      </w:r>
      <w:r>
        <w:rPr>
          <w:rFonts w:ascii="Times New Roman" w:hAnsi="Times New Roman"/>
          <w:sz w:val="28"/>
          <w:szCs w:val="28"/>
          <w:highlight w:val="white"/>
        </w:rPr>
        <w:t xml:space="preserve">влением Федеральной антимонопольной службы по автономному округу</w:t>
      </w:r>
      <w:r>
        <w:rPr>
          <w:rFonts w:ascii="Times New Roman" w:hAnsi="Times New Roman"/>
          <w:sz w:val="28"/>
          <w:szCs w:val="28"/>
          <w:highlight w:val="white"/>
        </w:rPr>
        <w:t xml:space="preserve"> в деятельности </w:t>
      </w:r>
      <w:r>
        <w:rPr>
          <w:rFonts w:ascii="Times New Roman" w:hAnsi="Times New Roman"/>
          <w:sz w:val="28"/>
          <w:szCs w:val="28"/>
          <w:highlight w:val="white"/>
        </w:rPr>
        <w:t xml:space="preserve">исполнительных органов </w:t>
        <w:br/>
        <w:t xml:space="preserve">и</w:t>
      </w:r>
      <w:r>
        <w:rPr>
          <w:rFonts w:ascii="Times New Roman" w:hAnsi="Times New Roman"/>
          <w:sz w:val="28"/>
          <w:szCs w:val="28"/>
          <w:highlight w:val="white"/>
        </w:rPr>
        <w:t xml:space="preserve"> ОМСУ в</w:t>
      </w:r>
      <w:r>
        <w:rPr>
          <w:rFonts w:ascii="Times New Roman" w:hAnsi="Times New Roman"/>
          <w:sz w:val="28"/>
          <w:szCs w:val="28"/>
          <w:highlight w:val="white"/>
        </w:rPr>
        <w:t xml:space="preserve">ыявлено 2 нарушения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антим</w:t>
      </w:r>
      <w:r>
        <w:rPr>
          <w:rFonts w:ascii="Times New Roman" w:hAnsi="Times New Roman"/>
          <w:sz w:val="28"/>
          <w:szCs w:val="28"/>
          <w:highlight w:val="white"/>
        </w:rPr>
        <w:t xml:space="preserve">онопольного законодательства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  <w:t xml:space="preserve"> Также антимонопольным органом установлено 5 фактов совершения должностными лицами исполнительных органов и ОМСУ действий (бездействий), которые содержат признаки нарушения антимо</w:t>
      </w:r>
      <w:r>
        <w:rPr>
          <w:rFonts w:ascii="Times New Roman" w:hAnsi="Times New Roman"/>
          <w:sz w:val="28"/>
          <w:szCs w:val="28"/>
          <w:highlight w:val="white"/>
        </w:rPr>
        <w:t xml:space="preserve">нопольного законодательства </w:t>
      </w:r>
      <w:r>
        <w:rPr>
          <w:rFonts w:ascii="Times New Roman" w:hAnsi="Times New Roman"/>
          <w:sz w:val="28"/>
          <w:szCs w:val="28"/>
          <w:highlight w:val="white"/>
        </w:rPr>
        <w:t xml:space="preserve">и могут привести к такому нарушению. 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2. Динамика нарушений антимонопольного законодательства, допущенных исполнительными органами и ОМСУ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2024 году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 xml:space="preserve">по отношению к 2023 году.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 результатам анализа информации, поступившей о</w:t>
      </w:r>
      <w:r>
        <w:rPr>
          <w:rFonts w:ascii="Times New Roman" w:hAnsi="Times New Roman"/>
          <w:sz w:val="28"/>
          <w:szCs w:val="28"/>
          <w:highlight w:val="white"/>
        </w:rPr>
        <w:t xml:space="preserve">т </w:t>
      </w:r>
      <w:r>
        <w:rPr>
          <w:rFonts w:ascii="Times New Roman" w:hAnsi="Times New Roman"/>
          <w:sz w:val="28"/>
          <w:szCs w:val="28"/>
          <w:highlight w:val="white"/>
        </w:rPr>
        <w:t xml:space="preserve">Управления Федеральной антимонопольной службы по автономному округу: </w:t>
      </w:r>
      <w:r>
        <w:rPr>
          <w:rFonts w:ascii="Times New Roman" w:hAnsi="Times New Roman"/>
          <w:sz w:val="28"/>
          <w:szCs w:val="28"/>
          <w:highlight w:val="white"/>
        </w:rPr>
        <w:t xml:space="preserve">положительная динамика нарушений антимонопольного законодательства, в связи с их отсутствием, зафиксирована</w:t>
      </w:r>
      <w:r>
        <w:rPr>
          <w:rFonts w:ascii="Times New Roman" w:hAnsi="Times New Roman"/>
          <w:sz w:val="28"/>
          <w:szCs w:val="28"/>
          <w:highlight w:val="white"/>
        </w:rPr>
        <w:t xml:space="preserve"> в 26 исполнительных органах и 21 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ОМСУ; отрицательная динамика установлена в 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1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ОМСУ и 1 исполнительном органе автономного округа.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3. Доля нарушений антимонопольного законодательства в проектах нормативных правовых актов, разработанных исполнительными органами, ОМСУ.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Общее количество поступивших на экспертизу проектов нормативных правовых актов, разработанных исполнительными органами и ОМСУ в 2024 году, составило 1058, из н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их в 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22 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в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ыявлены положения, содержащие возможные риски нарушения антимонопольного законодательств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а. Доля возможных нарушений антимонопольного законодательства в проектах нормативных правовых актов составил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а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2.1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 %.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4. Доля возможных нарушений антимонопольного законодательства в проектах нормативных правовых актов, разработанных исполнительными органами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, ОМСУ.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Общее количество поступивших на экспертизу проектов нормативных правовых актов, разработанных исполнительными органами и ОМСУ в 2024 году, составило 1058, из н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их в 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27 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выя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влены положения, которые не относятся к рискам нарушения антимонопольного зако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нодательства, но могут способствовать созданию условий </w:t>
        <w:br/>
        <w:t xml:space="preserve">для их возникновения. Доля возможных нарушений антимонопольного 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законодательства в проектах нормативных правовых актов составила 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2.6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 %.</w:t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ind w:firstLine="709"/>
        <w:jc w:val="both"/>
        <w:spacing w:after="0" w:line="360" w:lineRule="auto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5. Доля нарушений антимонопольного законодательства 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br/>
        <w:t xml:space="preserve">в нормативны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х правовых актах, разработанных (принятых) исполнительными органами, ОМСУ.</w:t>
      </w:r>
      <w:r>
        <w:rPr>
          <w:sz w:val="28"/>
          <w:szCs w:val="28"/>
          <w:highlight w:val="white"/>
          <w:lang w:eastAsia="ar-SA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540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Общее количество нормативных правовых актов, разработанных (принятых) исполнительными органами и ОМСУ, в отношении которых 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br/>
        <w:t xml:space="preserve">в 2024 году проведен анализ,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на предмет выявления положе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ний, содержащих возможные риски нарушения антимонопольного законодательства, составил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о 57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Из них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9 </w:t>
      </w:r>
      <w:r>
        <w:rPr>
          <w:rFonts w:ascii="Times New Roman" w:hAnsi="Times New Roman"/>
          <w:sz w:val="28"/>
          <w:szCs w:val="28"/>
          <w:highlight w:val="white"/>
        </w:rPr>
        <w:t xml:space="preserve">выя</w:t>
      </w:r>
      <w:r>
        <w:rPr>
          <w:rFonts w:ascii="Times New Roman" w:hAnsi="Times New Roman"/>
          <w:sz w:val="28"/>
          <w:szCs w:val="28"/>
          <w:highlight w:val="white"/>
        </w:rPr>
        <w:t xml:space="preserve">влены положения, содержащие возможные риски нарушения антимонопольного законодательства Российской Федерации, а также положения, </w:t>
        <w:br/>
        <w:t xml:space="preserve">которые </w:t>
      </w:r>
      <w:r>
        <w:rPr>
          <w:rFonts w:ascii="Times New Roman" w:hAnsi="Times New Roman"/>
          <w:sz w:val="28"/>
          <w:szCs w:val="28"/>
          <w:highlight w:val="white"/>
        </w:rPr>
        <w:t xml:space="preserve">не относятся </w:t>
      </w:r>
      <w:r>
        <w:rPr>
          <w:rFonts w:ascii="Times New Roman" w:hAnsi="Times New Roman"/>
          <w:sz w:val="28"/>
          <w:szCs w:val="28"/>
          <w:highlight w:val="white"/>
        </w:rPr>
        <w:t xml:space="preserve">к рискам нарушения антимонопольного законодательства, </w:t>
      </w:r>
      <w:r>
        <w:rPr>
          <w:rFonts w:ascii="Times New Roman" w:hAnsi="Times New Roman"/>
          <w:sz w:val="28"/>
          <w:szCs w:val="28"/>
          <w:highlight w:val="white"/>
        </w:rPr>
        <w:t xml:space="preserve">но могут способствовать созданию условий </w:t>
        <w:br/>
        <w:t xml:space="preserve">для </w:t>
      </w:r>
      <w:r>
        <w:rPr>
          <w:rFonts w:ascii="Times New Roman" w:hAnsi="Times New Roman"/>
          <w:sz w:val="28"/>
          <w:szCs w:val="28"/>
          <w:highlight w:val="white"/>
        </w:rPr>
        <w:t xml:space="preserve">их возникновения.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Доля нарушений антимонопольного законодательства 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в нормативных правовых актах, разработанных (принятых) исполнительными органа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ми 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и</w:t>
      </w:r>
      <w:r>
        <w:rPr>
          <w:rFonts w:ascii="Times New Roman" w:hAnsi="Times New Roman"/>
          <w:sz w:val="28"/>
          <w:szCs w:val="28"/>
          <w:highlight w:val="white"/>
          <w:lang w:eastAsia="ar-SA"/>
        </w:rPr>
        <w:t xml:space="preserve"> ОМСУ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 в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2024 году состави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ла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15,8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 %.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 целях совершенствования подхода к расчету уровня функционирования антимонопольного комплаенса в Методику в 2023 году внесены изменения, в том числе предусматривающие присвоение дополнительных баллов, а также условия присвоени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я минимального количества баллов.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Дополнительный балл присваивается за каждый показатель в случае, если исполнительный орган, ОМСУ сократили количество нарушений антимонопольного законодательства, количество отрицательных заключений и (или) замечаний Депа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ртамента экономического развития автономного округа в текущем отчетном периоде по сравнению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 xml:space="preserve">с предыдущим отчетным периодом в два и более раза.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Минимальное количество баллов по показателям расчета уровня функционирования антимонопольного комплаенса присваи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вается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 xml:space="preserve">в случае, если в отчетном периоде не был направлен для проведения экспертизы ни один проект нормативного правового акта и (или) ни один из направленных актов не подлежит экспертизе, а также в случае, если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  <w:t xml:space="preserve">в отчетном периоде не был направлен для пр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оведения анализа ни один действующий нормативный правовой акт и (или) ни один из направленных актов не подлежит анализу.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На основании расчета показателей, в зависимости от набранных баллов, установлены следующие уровни функционирования антимонопольного ко</w:t>
      </w:r>
      <w:r>
        <w:rPr>
          <w:rFonts w:ascii="Times New Roman" w:hAnsi="Times New Roman"/>
          <w:sz w:val="28"/>
          <w:szCs w:val="28"/>
          <w:highlight w:val="white"/>
        </w:rPr>
        <w:t xml:space="preserve">мплаенса: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высокий – у 2 исполнительных орган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ов 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13 ОМСУ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средний – у 23 исполнительных органов 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8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ОМСУ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незначительный – у 2 исполнительных органов и 1 ОМСУ;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По результатам расчета ключевых показателей функционирова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ния антимонопольного комплаенса дополнительные баллы присвоены 5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исполнительным органам (Департамент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труда и занятости </w:t>
        <w:br/>
        <w:t xml:space="preserve">населения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автономного округа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, Департамент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дорожного хозяйства </w:t>
        <w:br/>
        <w:t xml:space="preserve">и транспорта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автономного округа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, Департамент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строительст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ва </w:t>
        <w:br/>
        <w:t xml:space="preserve">и жилищно-коммунального комплекса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автономного округа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, Департамент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региональной безопасности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автономного округа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, Департамент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промышленности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автономного округа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)  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и 3 ОМСУ (Администрация города Покачи, Администрация Октябрьского района, Администрация Нижневартовского района).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В отношении 2 исполнительных органов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vertAlign w:val="superscript"/>
        </w:rPr>
        <w:footnoteReference w:id="9"/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расчеты</w:t>
      </w:r>
      <w:r>
        <w:rPr>
          <w:rFonts w:ascii="Times New Roman" w:hAnsi="Times New Roman"/>
          <w:sz w:val="28"/>
          <w:szCs w:val="28"/>
          <w:highlight w:val="white"/>
        </w:rPr>
        <w:t xml:space="preserve"> показателей </w:t>
      </w:r>
      <w:r>
        <w:rPr>
          <w:rFonts w:ascii="Times New Roman" w:hAnsi="Times New Roman"/>
          <w:sz w:val="28"/>
          <w:szCs w:val="28"/>
          <w:highlight w:val="white"/>
        </w:rPr>
        <w:br w:type="textWrapping" w:clear="all"/>
      </w:r>
      <w:r>
        <w:rPr>
          <w:rFonts w:ascii="Times New Roman" w:hAnsi="Times New Roman"/>
          <w:sz w:val="28"/>
          <w:szCs w:val="28"/>
          <w:highlight w:val="white"/>
        </w:rPr>
        <w:t xml:space="preserve">не проводились, уровень функционирования не присваивался, в связи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с отсутствием значений показателей по функционированию антимонопольного комплаенса.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На основании расчета показателей функционирования антимонопольного комплаенса сос</w:t>
      </w:r>
      <w:r>
        <w:rPr>
          <w:rFonts w:ascii="Times New Roman" w:hAnsi="Times New Roman"/>
          <w:sz w:val="28"/>
          <w:szCs w:val="28"/>
          <w:highlight w:val="white"/>
        </w:rPr>
        <w:t xml:space="preserve">тавлен рейтинг исполнительных органов и ОМСУ (приложения 1-2 к докладу).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  <w:lang w:val="en-US"/>
        </w:rPr>
        <w:t xml:space="preserve">VI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. Выводы 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об эффективности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функционирования антимонопольного комплаенса в </w:t>
      </w:r>
      <w:r>
        <w:rPr>
          <w:rFonts w:ascii="Times New Roman" w:hAnsi="Times New Roman"/>
          <w:b/>
          <w:sz w:val="28"/>
          <w:szCs w:val="28"/>
          <w:highlight w:val="white"/>
          <w:lang w:eastAsia="ru-RU"/>
        </w:rPr>
        <w:t xml:space="preserve">деятельности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исполнительных органов </w:t>
      </w:r>
      <w:r>
        <w:rPr>
          <w:rFonts w:ascii="Times New Roman" w:hAnsi="Times New Roman"/>
          <w:b/>
          <w:sz w:val="28"/>
          <w:szCs w:val="28"/>
          <w:highlight w:val="white"/>
        </w:rPr>
        <w:br w:type="textWrapping" w:clear="all"/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Ханты-Мансийского автономного округа – Югры и органов местного самоуправления муниципальных образований </w:t>
      </w:r>
      <w:r>
        <w:rPr>
          <w:rFonts w:ascii="Times New Roman" w:hAnsi="Times New Roman"/>
          <w:b/>
          <w:sz w:val="28"/>
          <w:szCs w:val="28"/>
          <w:highlight w:val="white"/>
        </w:rPr>
        <w:br w:type="textWrapping" w:clear="all"/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Ханты-Мансийского автономного </w:t>
      </w:r>
      <w:r>
        <w:rPr>
          <w:rFonts w:ascii="Times New Roman" w:hAnsi="Times New Roman"/>
          <w:b/>
          <w:sz w:val="28"/>
          <w:szCs w:val="28"/>
          <w:highlight w:val="white"/>
        </w:rPr>
        <w:br w:type="textWrapping" w:clear="all"/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округа – Югры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Анализ эффективности организации и функционирования антимонопольного комплаенса в автономном округе в 202</w:t>
      </w:r>
      <w:r>
        <w:rPr>
          <w:rFonts w:ascii="Times New Roman" w:hAnsi="Times New Roman"/>
          <w:sz w:val="28"/>
          <w:szCs w:val="28"/>
          <w:highlight w:val="white"/>
        </w:rPr>
        <w:t xml:space="preserve">4 году позволяет сделать вывод о том, что принятый комплекс мер, направленных </w:t>
      </w:r>
      <w:r>
        <w:rPr>
          <w:rFonts w:ascii="Times New Roman" w:hAnsi="Times New Roman"/>
          <w:sz w:val="28"/>
          <w:szCs w:val="28"/>
          <w:highlight w:val="white"/>
        </w:rPr>
        <w:br w:type="textWrapping" w:clear="all"/>
      </w:r>
      <w:r>
        <w:rPr>
          <w:rFonts w:ascii="Times New Roman" w:hAnsi="Times New Roman"/>
          <w:sz w:val="28"/>
          <w:szCs w:val="28"/>
          <w:highlight w:val="white"/>
        </w:rPr>
        <w:t xml:space="preserve">на функционирование антимонопольного комплаенса в автономном округе, является достаточным.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/>
          <w:strike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Указанное подтверждается стабильно низким количеством возбужденных Управлением Федера</w:t>
      </w:r>
      <w:r>
        <w:rPr>
          <w:rFonts w:ascii="Times New Roman" w:hAnsi="Times New Roman"/>
          <w:sz w:val="28"/>
          <w:szCs w:val="28"/>
          <w:highlight w:val="white"/>
        </w:rPr>
        <w:t xml:space="preserve">льной антимонопольной службы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по автономному округу дел в отношении исполнительных органов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и ОМСУ.</w:t>
      </w:r>
      <w:r>
        <w:rPr>
          <w:rFonts w:ascii="Times New Roman" w:hAnsi="Times New Roman"/>
          <w:strike/>
          <w:sz w:val="28"/>
          <w:szCs w:val="28"/>
          <w:highlight w:val="white"/>
        </w:rPr>
      </w:r>
      <w:r>
        <w:rPr>
          <w:rFonts w:ascii="Times New Roman" w:hAnsi="Times New Roman"/>
          <w:strike/>
          <w:sz w:val="28"/>
          <w:szCs w:val="28"/>
          <w:highlight w:val="whit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2024 году антимонопольным органом </w:t>
      </w:r>
      <w:r>
        <w:rPr>
          <w:rFonts w:ascii="Times New Roman" w:hAnsi="Times New Roman"/>
          <w:sz w:val="28"/>
          <w:szCs w:val="28"/>
          <w:highlight w:val="white"/>
        </w:rPr>
        <w:t xml:space="preserve">вынесено </w:t>
      </w: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 ре</w:t>
      </w:r>
      <w:r>
        <w:rPr>
          <w:rFonts w:ascii="Times New Roman" w:hAnsi="Times New Roman"/>
          <w:sz w:val="28"/>
          <w:szCs w:val="28"/>
          <w:highlight w:val="white"/>
        </w:rPr>
        <w:t xml:space="preserve">шения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о нарушении антимонопольного законодательства и 5 предупреждений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о прекращении действий (бездействи</w:t>
      </w:r>
      <w:r>
        <w:rPr>
          <w:rFonts w:ascii="Times New Roman" w:hAnsi="Times New Roman"/>
          <w:sz w:val="28"/>
          <w:szCs w:val="28"/>
          <w:highlight w:val="white"/>
        </w:rPr>
        <w:t xml:space="preserve">й), которые содержат признаки нарушения антимонопольного законодательства.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Таким образом, количество нарушений антимонопольного законодательства, </w:t>
      </w:r>
      <w:r>
        <w:rPr>
          <w:rFonts w:ascii="Times New Roman" w:hAnsi="Times New Roman"/>
          <w:sz w:val="28"/>
          <w:szCs w:val="28"/>
          <w:highlight w:val="white"/>
        </w:rPr>
        <w:t xml:space="preserve">фактов совершения действий (бездействий), которые содержат признаки нарушения антимонопольного законодательства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и могут привести к такому нарушени</w:t>
      </w:r>
      <w:r>
        <w:rPr>
          <w:rFonts w:ascii="Times New Roman" w:hAnsi="Times New Roman"/>
          <w:sz w:val="28"/>
          <w:szCs w:val="28"/>
          <w:highlight w:val="white"/>
        </w:rPr>
        <w:t xml:space="preserve">ю, выявляемых </w:t>
      </w:r>
      <w:r>
        <w:rPr>
          <w:rFonts w:ascii="Times New Roman" w:hAnsi="Times New Roman"/>
          <w:sz w:val="28"/>
          <w:szCs w:val="28"/>
          <w:highlight w:val="white"/>
        </w:rPr>
        <w:t xml:space="preserve">Управлением Федеральной антимонопольной службы по автономному округу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в деятельности исполнительных органов и ОМСУ, на протяжении последних двух лет устойчиво минимально.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целях снижения нарушений в сфере</w:t>
      </w:r>
      <w:r>
        <w:rPr>
          <w:rFonts w:ascii="Times New Roman" w:hAnsi="Times New Roman"/>
          <w:sz w:val="28"/>
          <w:szCs w:val="28"/>
          <w:highlight w:val="white"/>
        </w:rPr>
        <w:t xml:space="preserve"> контрактной системы Департамент государственного заказа автономного округа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на постоянной основе организует проведение семинаров (вебинаров).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Так, 2024 году организованы обучающие мероприятия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по следующим темам:  «Обзор изменений и актуальная практика</w:t>
      </w:r>
      <w:r>
        <w:rPr>
          <w:rFonts w:ascii="Times New Roman" w:hAnsi="Times New Roman"/>
          <w:sz w:val="28"/>
          <w:szCs w:val="28"/>
          <w:highlight w:val="white"/>
        </w:rPr>
        <w:t xml:space="preserve"> применения Закона о контрактной системе» (март 2024 года), «Закупки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по части 12 статьи 93 Федерального закона от 05.04.2013 № 44-ФЗ» (апрель 2024 года), «Закупки у единственного поставщика: законодательные требования и практика применения» (апрель 2024 г</w:t>
      </w:r>
      <w:r>
        <w:rPr>
          <w:rFonts w:ascii="Times New Roman" w:hAnsi="Times New Roman"/>
          <w:sz w:val="28"/>
          <w:szCs w:val="28"/>
          <w:highlight w:val="white"/>
        </w:rPr>
        <w:t xml:space="preserve">ода), «Обзор ключевых изменений и организации закупочной деятельности» (апрель 2024 года), «Контрактная система в сфере закупок товаров, работ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и услуг. Практика применения Федерального закона от 05.04.2013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№ 44-ФЗ» (май, октябрь 2024 года), «Практика пра</w:t>
      </w:r>
      <w:r>
        <w:rPr>
          <w:rFonts w:ascii="Times New Roman" w:hAnsi="Times New Roman"/>
          <w:sz w:val="28"/>
          <w:szCs w:val="28"/>
          <w:highlight w:val="white"/>
        </w:rPr>
        <w:t xml:space="preserve">воприменения Закона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№ 44-ФЗ: перспективы развития контрактной системы в 2025 году» (сентябрь 2024 года), «Контрактная система - 2024. Новации и итоги 2024 года» (ноябрь 2024 года), «Ключевые особенности в закупках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по Федеральному закону № 223-ФЗ: преимущ</w:t>
      </w:r>
      <w:r>
        <w:rPr>
          <w:rFonts w:ascii="Times New Roman" w:hAnsi="Times New Roman"/>
          <w:sz w:val="28"/>
          <w:szCs w:val="28"/>
          <w:highlight w:val="white"/>
        </w:rPr>
        <w:t xml:space="preserve">ества для субъектов малого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и среднего предпринимательства и меры национального режима» (декабрь 2024 года).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Количество слушателей на каждом семинаре (вебинаре) составило более 300 человек.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Кроме этого, исполнительными органами на постоянной основе проводи</w:t>
      </w:r>
      <w:r>
        <w:rPr>
          <w:rFonts w:ascii="Times New Roman" w:hAnsi="Times New Roman"/>
          <w:sz w:val="28"/>
          <w:szCs w:val="28"/>
          <w:highlight w:val="white"/>
        </w:rPr>
        <w:t xml:space="preserve">тся обучение, повышение профессиональной квалификации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и правовой грамотности государственных гражданских служащих,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в чьи должностные обязанности входит проведение закупок товаров, работ, услуг (далее – закупки), для обеспечения государственных нужд,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а т</w:t>
      </w:r>
      <w:r>
        <w:rPr>
          <w:rFonts w:ascii="Times New Roman" w:hAnsi="Times New Roman"/>
          <w:sz w:val="28"/>
          <w:szCs w:val="28"/>
          <w:highlight w:val="white"/>
        </w:rPr>
        <w:t xml:space="preserve">акже контроль за организацией и проведением закупок.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целях повышения уровня компетенции, а также принятия мер, направленных на предотвращение (недопущение) нарушений </w:t>
      </w:r>
      <w:r>
        <w:rPr>
          <w:rFonts w:ascii="Times New Roman" w:hAnsi="Times New Roman"/>
          <w:sz w:val="28"/>
          <w:szCs w:val="28"/>
          <w:highlight w:val="white"/>
        </w:rPr>
        <w:t xml:space="preserve">антимонопольного законодательства, исполнительными органами и ОМСУ организовано обучение</w:t>
      </w:r>
      <w:r>
        <w:rPr>
          <w:rFonts w:ascii="Times New Roman" w:hAnsi="Times New Roman"/>
          <w:sz w:val="28"/>
          <w:szCs w:val="28"/>
          <w:highlight w:val="white"/>
        </w:rPr>
        <w:t xml:space="preserve"> в сферах антимонопольного комплаенса, управления государственными и муниципальными закупками, в том числе по иным смежным направлениям обучения (с выдачей документа установленного образца), а также участие в мероприятиях (семинары, «круглые столы», конфер</w:t>
      </w:r>
      <w:r>
        <w:rPr>
          <w:rFonts w:ascii="Times New Roman" w:hAnsi="Times New Roman"/>
          <w:sz w:val="28"/>
          <w:szCs w:val="28"/>
          <w:highlight w:val="white"/>
        </w:rPr>
        <w:t xml:space="preserve">енции) более 3 000 государственных гражданских и муниципальных служащих.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Во всех муниципальных образованиях автономного округа создана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и функционирует система антимонопольного комплаенса, приняты соответствующие правовые акты, в том числе «карты» </w:t>
      </w:r>
      <w:r>
        <w:rPr>
          <w:rFonts w:ascii="Times New Roman" w:hAnsi="Times New Roman"/>
          <w:sz w:val="28"/>
          <w:szCs w:val="28"/>
          <w:highlight w:val="white"/>
        </w:rPr>
        <w:t xml:space="preserve">комплаенс-рисков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и «дорожные карты» по снижению комплаенс-рисков. Кроме того, ОМСУ в 2024 году продолжают внедрение и реализацию дополнительных мероприятий и практик, направленных на совершенствование системы антимонопольного комплаенса. 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Также низкому ко</w:t>
      </w:r>
      <w:r>
        <w:rPr>
          <w:rFonts w:ascii="Times New Roman" w:hAnsi="Times New Roman"/>
          <w:sz w:val="28"/>
          <w:szCs w:val="28"/>
          <w:highlight w:val="white"/>
        </w:rPr>
        <w:t xml:space="preserve">личеству нарушений антимонопольного законодательства способствует ежегодное исполнение исполнительными органами и ОМСУ плана мероприятий по снижению рисков нарушения антимонопольного законодательства в автономном округе, а также «дорожных карт» по снижению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 комплаенс-рисков.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Вместе с тем, в целях недопущения (предотвращения) нарушений, выявляемых Управлением Федеральной антимонопольной службы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по автономному округу в деятельности исполнительных органов и ОМСУ, необходимо на постоянной основе: осуществлять</w:t>
      </w:r>
      <w:r>
        <w:rPr>
          <w:rFonts w:ascii="Times New Roman" w:hAnsi="Times New Roman"/>
          <w:sz w:val="28"/>
          <w:szCs w:val="28"/>
          <w:highlight w:val="white"/>
        </w:rPr>
        <w:t xml:space="preserve"> контроль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за соблюдением требований антимонопольного законодательства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при разработке и принятии правовых актов, не носящих нормативный характер, и оформлении иных документов, реализация которых оказывает (может оказать) влияние на хозяйственную деятельно</w:t>
      </w:r>
      <w:r>
        <w:rPr>
          <w:rFonts w:ascii="Times New Roman" w:hAnsi="Times New Roman"/>
          <w:sz w:val="28"/>
          <w:szCs w:val="28"/>
          <w:highlight w:val="white"/>
        </w:rPr>
        <w:t xml:space="preserve">сть субъектов предпринимательской деятельности, а также некоммерческих организаций, как участников экономической деятельности; соблюдение обязательных </w:t>
      </w:r>
      <w:r>
        <w:rPr>
          <w:rFonts w:ascii="Times New Roman" w:hAnsi="Times New Roman"/>
          <w:sz w:val="28"/>
          <w:szCs w:val="28"/>
          <w:highlight w:val="white"/>
        </w:rPr>
        <w:t xml:space="preserve">требований антимонопольного законодательства, а также законодательства Российской Федерации, в том числе </w:t>
      </w:r>
      <w:r>
        <w:rPr>
          <w:rFonts w:ascii="Times New Roman" w:hAnsi="Times New Roman"/>
          <w:sz w:val="28"/>
          <w:szCs w:val="28"/>
          <w:highlight w:val="white"/>
        </w:rPr>
        <w:t xml:space="preserve">при  проведении конкурентных процедур (торгов); проходить повышение уровня квалификации сотрудников органов власти в части применения положений Федерального закона № 135-ФЗ «О защите конкуренции» в соответствующей сфере деятельности; принимать участие в об</w:t>
      </w:r>
      <w:r>
        <w:rPr>
          <w:rFonts w:ascii="Times New Roman" w:hAnsi="Times New Roman"/>
          <w:sz w:val="28"/>
          <w:szCs w:val="28"/>
          <w:highlight w:val="white"/>
        </w:rPr>
        <w:t xml:space="preserve">учающих мероприятиях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для хозяйствующих субъектов по недопущению нарушений требований антимонопольного законодательства.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rPr>
          <w:highlight w:val="white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418" w:right="1276" w:bottom="1134" w:left="1559" w:header="567" w:footer="720" w:gutter="0"/>
          <w:cols w:num="1" w:sep="0" w:space="720" w:equalWidth="1"/>
          <w:docGrid w:linePitch="360"/>
          <w:titlePg/>
        </w:sect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right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Приложение 1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right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к информации (докладу) об антимонопольном комплаенсе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right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в Ханты-Мансийском автономном округе – Югре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Результаты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расчета показателей функционирования антимонопольного комплаенса в деятельности исполнительных органов Ханты-Мансийского автономного округа – Югры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tbl>
      <w:tblPr>
        <w:tblW w:w="16018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710"/>
        <w:gridCol w:w="709"/>
        <w:gridCol w:w="567"/>
        <w:gridCol w:w="992"/>
        <w:gridCol w:w="992"/>
        <w:gridCol w:w="992"/>
        <w:gridCol w:w="851"/>
        <w:gridCol w:w="1134"/>
        <w:gridCol w:w="992"/>
        <w:gridCol w:w="851"/>
        <w:gridCol w:w="850"/>
        <w:gridCol w:w="709"/>
        <w:gridCol w:w="709"/>
        <w:gridCol w:w="1842"/>
      </w:tblGrid>
      <w:tr>
        <w:trPr>
          <w:cantSplit/>
          <w:trHeight w:val="391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№ п.п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Наименование исполнительного органа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tcW w:w="14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2"/>
            <w:shd w:val="clear" w:color="ffffff" w:fill="ffffff"/>
            <w:tcW w:w="114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Наименование показателя, количество набранных баллов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cantSplit/>
          <w:trHeight w:val="3529"/>
        </w:trPr>
        <w:tc>
          <w:tcPr>
            <w:shd w:val="clear" w:color="ffffff" w:fill="ffffff"/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shd w:val="clear" w:color="ffffff" w:fill="ffffff"/>
            <w:tcW w:w="1419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Количество нарушений антимонопольного законодательства </w:t>
            </w:r>
            <w:r>
              <w:rPr>
                <w:rFonts w:ascii="Times New Roman" w:hAnsi="Times New Roman"/>
                <w:highlight w:val="white"/>
              </w:rPr>
              <w:br/>
              <w:t xml:space="preserve">(ст. 15-17 Федерального закона от 26.07.2006 № 135-ФЗ)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Динамика нарушений антимонопольного законодательства (балл)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99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Общее количество проектов нормативных правовых актов, направленных в Депэкономики Югры для проведения экспертизы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Количество отрицательных заключений Депэкономики Югры о выявленных рисках нарушения</w:t>
            </w:r>
            <w:r>
              <w:rPr>
                <w:rFonts w:ascii="Times New Roman" w:hAnsi="Times New Roman"/>
                <w:highlight w:val="white"/>
              </w:rPr>
              <w:t xml:space="preserve"> антимонопольного законодательства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99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Количество замечаний Депэкономики Югры по итогам проведенной экспертизы проектов нормативных правовых актов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Доля нарушений антимонопольного законодательства в проектах нормативных правовых актах (балл)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113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Доля возможных нару</w:t>
            </w:r>
            <w:r>
              <w:rPr>
                <w:rFonts w:ascii="Times New Roman" w:hAnsi="Times New Roman"/>
                <w:b/>
                <w:highlight w:val="white"/>
              </w:rPr>
              <w:t xml:space="preserve">шений антимонопольного законодательства в проектах нормативных правовых актов (балл)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Общее количество нормативных правовых актов, направленных в Депэкономики Югры для проведения анализа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Количество отрицательных заключений, в том числе замечаний Депэкономики Югры по итогам проведенного анализа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Доля нарушений антимонопольного законодательства в нормативных правовых актах (балл)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709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Дополнительные баллы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Итого баллов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Уровень функционирования антимонопольного комплаенса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1126"/>
        </w:trPr>
        <w:tc>
          <w:tcPr>
            <w:shd w:val="clear" w:color="ffffff" w:fill="ffffff"/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ffffff" w:fill="ffffff"/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ffffff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2023 г.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2024 г.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ffffff" w:fill="ffffff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ffffff" w:fill="ffffff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ffffff" w:fill="ffffff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ffffff" w:fill="ffffff"/>
            <w:tcW w:w="184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14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15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Департамент труда и занятости населения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31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Высокий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Департамент дорожного хозяйства и транспорта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19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Высокий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Департамент строительства и жилищно-коммунального комплекса</w:t>
            </w:r>
            <w:r>
              <w:rPr>
                <w:rStyle w:val="1080"/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footnoteReference w:id="10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51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Департамент региональной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31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Департамент промышленности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74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Департамент финансов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49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Департамент информационных технологий и цифрового развития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hyperlink r:id="rId14" w:tooltip="http://deppolitiki.admhmao.ru/#_blank" w:anchor="_blank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Департамент внутренней политики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Департамент физической культуры и спорта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Департамент здравоохранения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41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Департамент государственной гражданской службы, кадровой политики и профилактики коррупции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Департамент пространственного развития и архитектуры</w:t>
            </w:r>
            <w:r>
              <w:rPr>
                <w:rStyle w:val="1080"/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footnoteReference w:id="11"/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Аппарат Губернатора, Правительства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Департамент административного обеспечения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Ветеринарная служба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Региональная служба по тарифам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hyperlink r:id="rId15" w:tooltip="http://nasledie.admhmao.ru/#_blank" w:anchor="_blank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Служба государственной охраны объектов культурного наследия 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Департамент культуры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Департамент образования и науки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74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Служба по контролю и надзору в сфере охраны окружающей среды, объектов животного мира и лесных отношений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Департамент недропользования и природных ресурсов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36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Департамент государственного заказа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Департамент молодежной политики, гражданских инициатив и внешних связей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Департамент по управлению государственным имуществом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47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Служба государственного надзора за техническим состоянием самоходных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машин и других видов техники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Средний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hyperlink r:id="rId16" w:tooltip="http://archivesl.admhmao.ru/#_blank" w:anchor="_blank" w:history="1">
              <w:r>
                <w:rPr>
                  <w:rFonts w:ascii="Times New Roman" w:hAnsi="Times New Roman" w:eastAsia="Times New Roman" w:cs="Times New Roman"/>
                  <w:sz w:val="22"/>
                  <w:szCs w:val="22"/>
                  <w:highlight w:val="white"/>
                </w:rPr>
                <w:t xml:space="preserve">Служба по делам архивов 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Незначительный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8"/>
              </w:numPr>
              <w:ind w:hanging="686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Департамент социального развития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80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white"/>
              </w:rPr>
              <w:t xml:space="preserve">Незначительный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</w:r>
          </w:p>
        </w:tc>
      </w:tr>
    </w:tbl>
    <w:p>
      <w:pPr>
        <w:ind w:firstLine="708"/>
        <w:jc w:val="right"/>
        <w:pageBreakBefore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Приложение 2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right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к информации (докладу) об антимонопольном комплаенсе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right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  <w:t xml:space="preserve">в Ханты-Мансийском автономном округе – Югре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Результаты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расчета показателей функционирования антимонопольного комплаенса в деятельности органов местного самоуправления муниципальных образований Ханты-Мансийского автономного округа – Югры </w:t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tbl>
      <w:tblPr>
        <w:tblW w:w="16018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709"/>
        <w:gridCol w:w="567"/>
        <w:gridCol w:w="992"/>
        <w:gridCol w:w="1134"/>
        <w:gridCol w:w="850"/>
        <w:gridCol w:w="851"/>
        <w:gridCol w:w="1134"/>
        <w:gridCol w:w="992"/>
        <w:gridCol w:w="851"/>
        <w:gridCol w:w="850"/>
        <w:gridCol w:w="567"/>
        <w:gridCol w:w="709"/>
        <w:gridCol w:w="1984"/>
      </w:tblGrid>
      <w:tr>
        <w:trPr>
          <w:cantSplit/>
          <w:trHeight w:val="391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№ п.п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Наименование ОМСУ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2"/>
            <w:shd w:val="clear" w:color="ffffff" w:fill="ffffff"/>
            <w:tcW w:w="114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Наименование показателя, коли</w:t>
            </w:r>
            <w:r>
              <w:rPr>
                <w:rFonts w:ascii="Times New Roman" w:hAnsi="Times New Roman"/>
                <w:highlight w:val="white"/>
              </w:rPr>
              <w:t xml:space="preserve">чество набранных баллов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cantSplit/>
          <w:trHeight w:val="3529"/>
        </w:trPr>
        <w:tc>
          <w:tcPr>
            <w:shd w:val="clear" w:color="ffffff" w:fill="ffffff"/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shd w:val="clear" w:color="ffffff" w:fill="ffffff"/>
            <w:tcW w:w="141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Количество нарушений антимонопольного законодательства </w:t>
            </w:r>
            <w:r>
              <w:rPr>
                <w:rFonts w:ascii="Times New Roman" w:hAnsi="Times New Roman"/>
                <w:highlight w:val="white"/>
              </w:rPr>
              <w:br/>
              <w:t xml:space="preserve">(ст. 15-17 Федерального закона от 26.07.2006 № 135-ФЗ)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Динамика нарушений антимонопольного законодательства (балл)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99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Общее количество проектов нормативных правовых актов, направленных в Депэкономики Югры для проведения экспертизы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Количество отрицательных заключений Депэкономики Югры о выявленных рисках нарушения антимонопольного законодательства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850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Количество замечаний Депэ</w:t>
            </w:r>
            <w:r>
              <w:rPr>
                <w:rFonts w:ascii="Times New Roman" w:hAnsi="Times New Roman"/>
                <w:highlight w:val="white"/>
              </w:rPr>
              <w:t xml:space="preserve">кономики Югры по итогам проведенной экспертизы проектов нормативных правовых актов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Доля нарушений антимонопольного законодательства в проектах нормативных правовых актах (балл)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113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Доля возможных нарушений антимонопольного законодательства в проектах нормативн</w:t>
            </w:r>
            <w:r>
              <w:rPr>
                <w:rFonts w:ascii="Times New Roman" w:hAnsi="Times New Roman"/>
                <w:b/>
                <w:highlight w:val="white"/>
              </w:rPr>
              <w:t xml:space="preserve">ых правовых актов (балл)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Общее количество нормативных правовых актов, направленных в Депэкономики Югры для проведения анализа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Количество отрицательных заключений, в том числе замечаний Депэкономики Югры по итогам проведенного анализа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Доля нарушений антимон</w:t>
            </w:r>
            <w:r>
              <w:rPr>
                <w:rFonts w:ascii="Times New Roman" w:hAnsi="Times New Roman"/>
                <w:b/>
                <w:highlight w:val="white"/>
              </w:rPr>
              <w:t xml:space="preserve">опольного законодательства в нормативных правовых актах (балл)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567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Дополнительные баллы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Итого баллов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Уровень функционирования антимонопольного комплаенса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1126"/>
        </w:trPr>
        <w:tc>
          <w:tcPr>
            <w:shd w:val="clear" w:color="ffffff" w:fill="ffffff"/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ffffff" w:fill="ffffff"/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2023 г.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2024 г.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ffffff" w:fill="ffffff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ffffff" w:fill="ffffff"/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ffffff" w:fill="ffffff"/>
            <w:tcW w:w="70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shd w:val="clear" w:color="ffffff" w:fill="ffffff"/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14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15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16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Администра</w:t>
            </w:r>
            <w:r>
              <w:rPr>
                <w:rFonts w:ascii="Times New Roman" w:hAnsi="Times New Roman"/>
                <w:highlight w:val="white"/>
              </w:rPr>
              <w:t xml:space="preserve">ция </w:t>
            </w:r>
            <w:r>
              <w:rPr>
                <w:rFonts w:ascii="Times New Roman" w:hAnsi="Times New Roman"/>
                <w:highlight w:val="white"/>
              </w:rPr>
              <w:br/>
              <w:t xml:space="preserve">г. Покачи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19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Высокий</w:t>
            </w:r>
            <w:r>
              <w:rPr>
                <w:rFonts w:ascii="Times New Roman" w:hAnsi="Times New Roman"/>
                <w:bCs/>
                <w:highlight w:val="white"/>
              </w:rPr>
            </w:r>
            <w:r>
              <w:rPr>
                <w:rFonts w:ascii="Times New Roman" w:hAnsi="Times New Roman"/>
                <w:bCs/>
                <w:highlight w:val="white"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Администрация Октябрьского района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19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Высокий</w:t>
            </w:r>
            <w:r>
              <w:rPr>
                <w:rFonts w:ascii="Times New Roman" w:hAnsi="Times New Roman"/>
                <w:bCs/>
                <w:highlight w:val="white"/>
              </w:rPr>
            </w:r>
            <w:r>
              <w:rPr>
                <w:rFonts w:ascii="Times New Roman" w:hAnsi="Times New Roman"/>
                <w:bCs/>
                <w:highlight w:val="white"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Администрация Березовского района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18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Высокий</w:t>
            </w:r>
            <w:r>
              <w:rPr>
                <w:rFonts w:ascii="Times New Roman" w:hAnsi="Times New Roman"/>
                <w:bCs/>
                <w:highlight w:val="white"/>
              </w:rPr>
            </w:r>
            <w:r>
              <w:rPr>
                <w:rFonts w:ascii="Times New Roman" w:hAnsi="Times New Roman"/>
                <w:bCs/>
                <w:highlight w:val="white"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Администрация Белоярского района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18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Высокий</w:t>
            </w:r>
            <w:r>
              <w:rPr>
                <w:rFonts w:ascii="Times New Roman" w:hAnsi="Times New Roman"/>
                <w:bCs/>
                <w:highlight w:val="white"/>
              </w:rPr>
            </w:r>
            <w:r>
              <w:rPr>
                <w:rFonts w:ascii="Times New Roman" w:hAnsi="Times New Roman"/>
                <w:bCs/>
                <w:highlight w:val="white"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Администрация </w:t>
            </w:r>
            <w:r>
              <w:rPr>
                <w:rFonts w:ascii="Times New Roman" w:hAnsi="Times New Roman"/>
                <w:highlight w:val="white"/>
              </w:rPr>
              <w:br/>
              <w:t xml:space="preserve">г. Сургута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18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Высокий</w:t>
            </w:r>
            <w:r>
              <w:rPr>
                <w:rFonts w:ascii="Times New Roman" w:hAnsi="Times New Roman"/>
                <w:bCs/>
                <w:highlight w:val="white"/>
              </w:rPr>
            </w:r>
            <w:r>
              <w:rPr>
                <w:rFonts w:ascii="Times New Roman" w:hAnsi="Times New Roman"/>
                <w:bCs/>
                <w:highlight w:val="white"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Администрация г. Урая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18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Высокий</w:t>
            </w:r>
            <w:r>
              <w:rPr>
                <w:rFonts w:ascii="Times New Roman" w:hAnsi="Times New Roman"/>
                <w:bCs/>
                <w:highlight w:val="white"/>
              </w:rPr>
            </w:r>
            <w:r>
              <w:rPr>
                <w:rFonts w:ascii="Times New Roman" w:hAnsi="Times New Roman"/>
                <w:bCs/>
                <w:highlight w:val="white"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highlight w:val="white"/>
              </w:rPr>
            </w:r>
            <w:hyperlink r:id="rId17" w:tooltip="http://archivesl.admhmao.ru/#_blank" w:anchor="_blank" w:history="1">
              <w:r>
                <w:rPr>
                  <w:rFonts w:ascii="Times New Roman" w:hAnsi="Times New Roman"/>
                  <w:highlight w:val="white"/>
                </w:rPr>
                <w:t xml:space="preserve">Администрация</w:t>
              </w:r>
            </w:hyperlink>
            <w:r>
              <w:rPr>
                <w:rFonts w:ascii="Times New Roman" w:hAnsi="Times New Roman"/>
                <w:highlight w:val="white"/>
              </w:rPr>
              <w:t xml:space="preserve"> Кондинского района 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18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Высокий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highlight w:val="white"/>
              </w:rPr>
            </w:r>
            <w:hyperlink r:id="rId18" w:tooltip="http://nasledie.admhmao.ru/#_blank" w:anchor="_blank" w:history="1">
              <w:r>
                <w:rPr>
                  <w:rFonts w:ascii="Times New Roman" w:hAnsi="Times New Roman"/>
                  <w:highlight w:val="white"/>
                </w:rPr>
                <w:t xml:space="preserve">Администрация</w:t>
              </w:r>
            </w:hyperlink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br/>
              <w:t xml:space="preserve">г. Когалыма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18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Высокий</w:t>
            </w:r>
            <w:r>
              <w:rPr>
                <w:rFonts w:ascii="Times New Roman" w:hAnsi="Times New Roman"/>
                <w:bCs/>
                <w:highlight w:val="white"/>
              </w:rPr>
            </w:r>
            <w:r>
              <w:rPr>
                <w:rFonts w:ascii="Times New Roman" w:hAnsi="Times New Roman"/>
                <w:bCs/>
                <w:highlight w:val="white"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Администрация </w:t>
            </w:r>
            <w:r>
              <w:rPr>
                <w:rFonts w:ascii="Times New Roman" w:hAnsi="Times New Roman"/>
                <w:highlight w:val="white"/>
              </w:rPr>
              <w:br/>
              <w:t xml:space="preserve">г. Ханты-Мансийска 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8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  <w:t xml:space="preserve">Высокий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Администрация Нижневартовского района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Высокий 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Администрация </w:t>
            </w:r>
            <w:r>
              <w:rPr>
                <w:rFonts w:ascii="Times New Roman" w:hAnsi="Times New Roman"/>
                <w:highlight w:val="white"/>
              </w:rPr>
              <w:br/>
              <w:t xml:space="preserve">Нефтеюганского района 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Высокий</w:t>
            </w:r>
            <w:r>
              <w:rPr>
                <w:rFonts w:ascii="Times New Roman" w:hAnsi="Times New Roman"/>
                <w:bCs/>
                <w:highlight w:val="white"/>
              </w:rPr>
            </w:r>
            <w:r>
              <w:rPr>
                <w:rFonts w:ascii="Times New Roman" w:hAnsi="Times New Roman"/>
                <w:bCs/>
                <w:highlight w:val="white"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highlight w:val="white"/>
              </w:rPr>
            </w:r>
            <w:hyperlink r:id="rId19" w:tooltip="http://kontrol.admhmao.ru/#_blank" w:anchor="_blank" w:history="1">
              <w:r>
                <w:rPr>
                  <w:rFonts w:ascii="Times New Roman" w:hAnsi="Times New Roman"/>
                  <w:highlight w:val="white"/>
                </w:rPr>
                <w:t xml:space="preserve">Администрация</w:t>
              </w:r>
            </w:hyperlink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br/>
              <w:t xml:space="preserve">г. Мегиона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Высокий 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Администрация Сургутского района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  <w:t xml:space="preserve">Высокий 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Администрация Советского района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16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Средний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highlight w:val="white"/>
              </w:rPr>
            </w:r>
            <w:hyperlink r:id="rId20" w:tooltip="http://deppolitiki.admhmao.ru/#_blank" w:anchor="_blank" w:history="1">
              <w:r>
                <w:rPr>
                  <w:rFonts w:ascii="Times New Roman" w:hAnsi="Times New Roman"/>
                  <w:highlight w:val="white"/>
                </w:rPr>
                <w:t xml:space="preserve">Администрация</w:t>
              </w:r>
            </w:hyperlink>
            <w:r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br/>
              <w:t xml:space="preserve">г. Югорска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16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Средний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Администрация Ханты-Мансийского района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Средний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Администрация </w:t>
            </w:r>
            <w:r>
              <w:rPr>
                <w:rFonts w:ascii="Times New Roman" w:hAnsi="Times New Roman"/>
                <w:highlight w:val="white"/>
              </w:rPr>
              <w:br/>
              <w:t xml:space="preserve">г. Нягани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Средний 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Администрация </w:t>
            </w:r>
            <w:r>
              <w:rPr>
                <w:rFonts w:ascii="Times New Roman" w:hAnsi="Times New Roman"/>
                <w:highlight w:val="white"/>
              </w:rPr>
              <w:br/>
              <w:t xml:space="preserve">г. Нефтеюганска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Средний</w:t>
            </w:r>
            <w:r>
              <w:rPr>
                <w:rFonts w:ascii="Times New Roman" w:hAnsi="Times New Roman"/>
                <w:bCs/>
                <w:highlight w:val="white"/>
              </w:rPr>
            </w:r>
            <w:r>
              <w:rPr>
                <w:rFonts w:ascii="Times New Roman" w:hAnsi="Times New Roman"/>
                <w:bCs/>
                <w:highlight w:val="white"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Администрация </w:t>
            </w:r>
            <w:r>
              <w:rPr>
                <w:rFonts w:ascii="Times New Roman" w:hAnsi="Times New Roman"/>
                <w:highlight w:val="white"/>
              </w:rPr>
              <w:br/>
              <w:t xml:space="preserve">г. Радужный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14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Средний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  <w:tr>
        <w:trPr>
          <w:trHeight w:val="265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Администрация </w:t>
            </w:r>
            <w:r>
              <w:rPr>
                <w:rFonts w:ascii="Times New Roman" w:hAnsi="Times New Roman"/>
                <w:highlight w:val="white"/>
              </w:rPr>
              <w:br/>
              <w:t xml:space="preserve">г. Нижневартовска 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  <w:lang w:val="en-US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14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Средний</w:t>
            </w:r>
            <w:r>
              <w:rPr>
                <w:rFonts w:ascii="Times New Roman" w:hAnsi="Times New Roman"/>
                <w:bCs/>
                <w:highlight w:val="white"/>
              </w:rPr>
            </w:r>
            <w:r>
              <w:rPr>
                <w:rFonts w:ascii="Times New Roman" w:hAnsi="Times New Roman"/>
                <w:bCs/>
                <w:highlight w:val="white"/>
              </w:rPr>
            </w:r>
          </w:p>
        </w:tc>
      </w:tr>
      <w:tr>
        <w:trPr>
          <w:trHeight w:val="230"/>
        </w:trPr>
        <w:tc>
          <w:tcPr>
            <w:shd w:val="clear" w:color="ffffff" w:fill="ffffff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Администрация </w:t>
            </w:r>
            <w:r>
              <w:rPr>
                <w:rFonts w:ascii="Times New Roman" w:hAnsi="Times New Roman"/>
                <w:highlight w:val="white"/>
              </w:rPr>
              <w:br/>
              <w:t xml:space="preserve">г. Пыть-Яха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5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11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Средний</w:t>
            </w:r>
            <w:r>
              <w:rPr>
                <w:rFonts w:ascii="Times New Roman" w:hAnsi="Times New Roman"/>
                <w:bCs/>
                <w:highlight w:val="white"/>
              </w:rPr>
            </w:r>
            <w:r>
              <w:rPr>
                <w:rFonts w:ascii="Times New Roman" w:hAnsi="Times New Roman"/>
                <w:bCs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W w:w="567" w:type="dxa"/>
            <w:vAlign w:val="center"/>
            <w:textDirection w:val="lrTb"/>
            <w:noWrap w:val="false"/>
          </w:tcPr>
          <w:p>
            <w:pPr>
              <w:pStyle w:val="935"/>
              <w:numPr>
                <w:ilvl w:val="0"/>
                <w:numId w:val="29"/>
              </w:num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25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highlight w:val="white"/>
              </w:rPr>
              <w:br/>
              <w:t xml:space="preserve">г. Лангепаса</w:t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  <w:r>
              <w:rPr>
                <w:rFonts w:ascii="Times New Roman" w:hAnsi="Times New Roman"/>
                <w:color w:val="000000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7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3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10</w:t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  <w:r>
              <w:rPr>
                <w:rFonts w:ascii="Times New Roman" w:hAnsi="Times New Roman"/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Незначительный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sectPr>
      <w:footnotePr/>
      <w:endnotePr/>
      <w:type w:val="nextPage"/>
      <w:pgSz w:w="16838" w:h="11906" w:orient="landscape"/>
      <w:pgMar w:top="1276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36"/>
        <w:jc w:val="both"/>
      </w:pPr>
      <w:r>
        <w:rPr>
          <w:rStyle w:val="1080"/>
        </w:rPr>
        <w:footnoteRef/>
      </w:r>
      <w:r>
        <w:t xml:space="preserve"> Утверждена распоряжением Правительства Российской Федерации от 05.03.2024 № 512-р.</w:t>
      </w:r>
      <w:r/>
    </w:p>
  </w:footnote>
  <w:footnote w:id="3">
    <w:p>
      <w:pPr>
        <w:jc w:val="both"/>
        <w:spacing w:line="240" w:lineRule="auto"/>
        <w:rPr>
          <w:highlight w:val="white"/>
        </w:rPr>
      </w:pPr>
      <w:r>
        <w:rPr>
          <w:rStyle w:val="1155"/>
          <w:rFonts w:ascii="Times New Roman" w:hAnsi="Times New Roman"/>
        </w:rPr>
        <w:footnoteRef/>
      </w:r>
      <w:r>
        <w:rPr>
          <w:rFonts w:cs="Calibri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Постановление Правительства Ханты-Мансийского автономного округа – Югр</w:t>
      </w:r>
      <w:r>
        <w:rPr>
          <w:rFonts w:ascii="Times New Roman" w:hAnsi="Times New Roman"/>
          <w:sz w:val="20"/>
          <w:szCs w:val="20"/>
          <w:highlight w:val="white"/>
        </w:rPr>
        <w:t xml:space="preserve">ы от 19 декабря </w:t>
      </w:r>
      <w:r>
        <w:rPr>
          <w:rFonts w:ascii="Times New Roman" w:hAnsi="Times New Roman"/>
          <w:sz w:val="20"/>
          <w:szCs w:val="20"/>
          <w:highlight w:val="white"/>
        </w:rPr>
        <w:br/>
        <w:t xml:space="preserve">2024 года № 519-п «О внесении изменений в постановление Правительства Ханты-Мансийского автономного округа – Югры от 30 декабря 2021 года № 633-п «О мерах по реализации </w:t>
      </w:r>
      <w:r>
        <w:rPr>
          <w:rFonts w:ascii="Times New Roman" w:hAnsi="Times New Roman"/>
          <w:sz w:val="20"/>
          <w:szCs w:val="20"/>
          <w:highlight w:val="white"/>
        </w:rPr>
        <w:t xml:space="preserve">государственной программы Ханты-Мансийского автономного округа – Югры «Развитие экономического потенциала».</w:t>
      </w:r>
      <w:r>
        <w:rPr>
          <w:highlight w:val="white"/>
        </w:rPr>
      </w:r>
      <w:r>
        <w:rPr>
          <w:highlight w:val="white"/>
        </w:rPr>
      </w:r>
    </w:p>
  </w:footnote>
  <w:footnote w:id="4">
    <w:p>
      <w:pPr>
        <w:pStyle w:val="1078"/>
        <w:jc w:val="both"/>
        <w:rPr>
          <w:rFonts w:ascii="Times New Roman" w:hAnsi="Times New Roman"/>
        </w:rPr>
      </w:pPr>
      <w:r>
        <w:rPr>
          <w:rStyle w:val="1080"/>
          <w:rFonts w:ascii="Times New Roman" w:hAnsi="Times New Roman" w:eastAsia="Times New Roman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Из них 2 нормативных правовых акта, разработанные представительством Ханты-Мансийского автономного округа – Югры; 40 нормативных правовых актов, р</w:t>
      </w:r>
      <w:r>
        <w:rPr>
          <w:rFonts w:ascii="Times New Roman" w:hAnsi="Times New Roman"/>
        </w:rPr>
        <w:t xml:space="preserve">азработанных исполнительными органами Ханты-Мансийского автономного округа – Югры, в отношении которых осуществляются организационно-штатные мероприятия. Указанные нормативные правовые акты не учитываются </w:t>
      </w:r>
      <w:r>
        <w:rPr>
          <w:rFonts w:ascii="Times New Roman" w:hAnsi="Times New Roman"/>
        </w:rPr>
        <w:br/>
        <w:t xml:space="preserve">при подсчете уровня функционирования антимонопольн</w:t>
      </w:r>
      <w:r>
        <w:rPr>
          <w:rFonts w:ascii="Times New Roman" w:hAnsi="Times New Roman"/>
        </w:rPr>
        <w:t xml:space="preserve">ого комплаенса.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5">
    <w:p>
      <w:pPr>
        <w:jc w:val="both"/>
        <w:spacing w:after="0" w:line="240" w:lineRule="auto"/>
        <w:rPr>
          <w:sz w:val="20"/>
          <w:szCs w:val="20"/>
        </w:rPr>
      </w:pPr>
      <w:r>
        <w:rPr>
          <w:rStyle w:val="1080"/>
          <w:rFonts w:ascii="Times New Roman" w:hAnsi="Times New Roman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Департаментом экономического развития Ханты-Мансийского автономного округа – Югры проводится экспертиза п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роектов нормативных правовых актов, разработанных органами местного самоуправления муниципальных образований Ханты-Мансийского авто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номного округа – Югры во исполнение переданных отдельных государственных полномочий </w:t>
      </w:r>
      <w:r>
        <w:rPr>
          <w:rFonts w:ascii="Times New Roman" w:hAnsi="Times New Roman"/>
          <w:sz w:val="20"/>
          <w:szCs w:val="20"/>
        </w:rPr>
        <w:t xml:space="preserve">Ханты-Мансийского автономного округа – Югры.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6">
    <w:p>
      <w:pPr>
        <w:pStyle w:val="936"/>
        <w:jc w:val="both"/>
      </w:pPr>
      <w:r>
        <w:rPr>
          <w:rStyle w:val="1080"/>
        </w:rPr>
        <w:footnoteRef/>
      </w:r>
      <w:r>
        <w:t xml:space="preserve"> Утверждена распоряжением Правительства Российской Федерации от 5 марта 2024 года № 512-р.</w:t>
      </w:r>
      <w:r/>
    </w:p>
  </w:footnote>
  <w:footnote w:id="7">
    <w:p>
      <w:pPr>
        <w:jc w:val="both"/>
        <w:spacing w:after="0" w:line="288" w:lineRule="atLeast"/>
        <w:rPr>
          <w:rFonts w:ascii="Times New Roman" w:hAnsi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1080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/>
          <w:color w:val="000000"/>
          <w:sz w:val="20"/>
          <w:szCs w:val="20"/>
        </w:rPr>
        <w:t xml:space="preserve">Об утверждении общих требований к</w:t>
      </w:r>
      <w:r>
        <w:rPr>
          <w:rFonts w:ascii="Times New Roman" w:hAnsi="Times New Roman" w:eastAsia="Times New Roman"/>
          <w:color w:val="000000"/>
          <w:sz w:val="20"/>
          <w:szCs w:val="20"/>
        </w:rPr>
        <w:t xml:space="preserve">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</w:t>
      </w:r>
      <w:r>
        <w:rPr>
          <w:rFonts w:ascii="Times New Roman" w:hAnsi="Times New Roman" w:eastAsia="Times New Roman"/>
          <w:color w:val="000000"/>
          <w:sz w:val="20"/>
          <w:szCs w:val="20"/>
        </w:rPr>
        <w:t xml:space="preserve">физическим лицам – производителям товаров, работ, услуг и проведение отборов получателей указанных субсидий, в том числе грантов в форме субсидий.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</w:footnote>
  <w:footnote w:id="8">
    <w:p>
      <w:pPr>
        <w:pStyle w:val="1078"/>
        <w:jc w:val="both"/>
        <w:rPr>
          <w:rFonts w:ascii="Times New Roman" w:hAnsi="Times New Roman"/>
        </w:rPr>
      </w:pPr>
      <w:r>
        <w:rPr>
          <w:rStyle w:val="1080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Приказ Департамента экономического развития Ханты-Масийского автономного округа – Югры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от 22 декабря 2023 года № 290 «О внесении изменений в приложение 3 к приказу Департамента экономического развития Ханты-Мансийского автономного округа – Югры от 7 февраля 2019 года № 21 «Об антимонопольном комплаенсе в Ханты-Мансийском автономном округе – </w:t>
      </w:r>
      <w:r>
        <w:rPr>
          <w:rFonts w:ascii="Times New Roman" w:hAnsi="Times New Roman"/>
        </w:rPr>
        <w:t xml:space="preserve">Югре».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9">
    <w:p>
      <w:pPr>
        <w:pStyle w:val="1078"/>
        <w:jc w:val="both"/>
        <w:rPr>
          <w:rFonts w:ascii="Times New Roman" w:hAnsi="Times New Roman"/>
        </w:rPr>
      </w:pPr>
      <w:r>
        <w:rPr>
          <w:rStyle w:val="1080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Служба контроля Ханты-Мансийского автономного округа – Югры, Служба жилищного </w:t>
      </w:r>
      <w:r>
        <w:rPr>
          <w:rFonts w:ascii="Times New Roman" w:hAnsi="Times New Roman"/>
        </w:rPr>
        <w:br/>
        <w:t xml:space="preserve">и строительного надзора Ханты-Мансийского автономного округа – Югры.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10">
    <w:p>
      <w:pPr>
        <w:pStyle w:val="1078"/>
        <w:rPr>
          <w:rFonts w:ascii="Times New Roman" w:hAnsi="Times New Roman"/>
        </w:rPr>
      </w:pPr>
      <w:r>
        <w:rPr>
          <w:rStyle w:val="1080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до 03.10.2024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11">
    <w:p>
      <w:pPr>
        <w:pStyle w:val="1078"/>
        <w:rPr>
          <w:rFonts w:ascii="Times New Roman" w:hAnsi="Times New Roman"/>
        </w:rPr>
      </w:pPr>
      <w:r>
        <w:rPr>
          <w:rStyle w:val="1080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до 03.10.2024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16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  <w:rPr>
        <w:rFonts w:ascii="Times New Roman" w:hAnsi="Times New Roman" w:cs="Times New Roman"/>
        <w:bCs/>
        <w:i w:val="0"/>
        <w:sz w:val="28"/>
        <w:szCs w:val="28"/>
        <w:highlight w:val="none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  <w:rPr>
        <w:rFonts w:ascii="Times New Roman" w:hAnsi="Times New Roman" w:cs="Times New Roman"/>
        <w:bCs/>
        <w:i w:val="0"/>
        <w:sz w:val="28"/>
        <w:szCs w:val="28"/>
        <w:highlight w:val="none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2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  <w:rPr>
        <w:rFonts w:ascii="Times New Roman" w:hAnsi="Times New Roman" w:cs="Times New Roman"/>
        <w:bCs/>
        <w:i w:val="0"/>
        <w:sz w:val="28"/>
        <w:szCs w:val="28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  <w:tabs>
          <w:tab w:val="num" w:pos="0" w:leader="none"/>
        </w:tabs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highlight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  <w:rPr>
        <w:rFonts w:ascii="Times New Roman" w:hAnsi="Times New Roman" w:cs="Times New Roman"/>
        <w:bCs/>
        <w:i w:val="0"/>
        <w:sz w:val="28"/>
        <w:szCs w:val="28"/>
        <w:highlight w:val="none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2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  <w:rPr>
        <w:rFonts w:ascii="Times New Roman" w:hAnsi="Times New Roman" w:cs="Times New Roman"/>
        <w:bCs/>
        <w:i w:val="0"/>
        <w:sz w:val="28"/>
        <w:szCs w:val="28"/>
        <w:highlight w:val="none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  <w:rPr>
        <w:rFonts w:ascii="Times New Roman" w:hAnsi="Times New Roman" w:cs="Times New Roman"/>
        <w:bCs/>
        <w:i w:val="0"/>
        <w:sz w:val="28"/>
        <w:szCs w:val="28"/>
        <w:highlight w:val="none"/>
        <w:lang w:eastAsia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24"/>
  </w:num>
  <w:num w:numId="5">
    <w:abstractNumId w:val="6"/>
  </w:num>
  <w:num w:numId="6">
    <w:abstractNumId w:val="2"/>
  </w:num>
  <w:num w:numId="7">
    <w:abstractNumId w:val="11"/>
  </w:num>
  <w:num w:numId="8">
    <w:abstractNumId w:val="28"/>
  </w:num>
  <w:num w:numId="9">
    <w:abstractNumId w:val="4"/>
  </w:num>
  <w:num w:numId="10">
    <w:abstractNumId w:val="26"/>
  </w:num>
  <w:num w:numId="11">
    <w:abstractNumId w:val="18"/>
  </w:num>
  <w:num w:numId="12">
    <w:abstractNumId w:val="25"/>
  </w:num>
  <w:num w:numId="13">
    <w:abstractNumId w:val="15"/>
  </w:num>
  <w:num w:numId="14">
    <w:abstractNumId w:val="0"/>
  </w:num>
  <w:num w:numId="15">
    <w:abstractNumId w:val="13"/>
  </w:num>
  <w:num w:numId="16">
    <w:abstractNumId w:val="21"/>
  </w:num>
  <w:num w:numId="17">
    <w:abstractNumId w:val="22"/>
  </w:num>
  <w:num w:numId="18">
    <w:abstractNumId w:val="10"/>
  </w:num>
  <w:num w:numId="19">
    <w:abstractNumId w:val="23"/>
  </w:num>
  <w:num w:numId="20">
    <w:abstractNumId w:val="16"/>
  </w:num>
  <w:num w:numId="21">
    <w:abstractNumId w:val="9"/>
  </w:num>
  <w:num w:numId="22">
    <w:abstractNumId w:val="5"/>
  </w:num>
  <w:num w:numId="23">
    <w:abstractNumId w:val="20"/>
  </w:num>
  <w:num w:numId="24">
    <w:abstractNumId w:val="3"/>
  </w:num>
  <w:num w:numId="25">
    <w:abstractNumId w:val="27"/>
  </w:num>
  <w:num w:numId="26">
    <w:abstractNumId w:val="12"/>
  </w:num>
  <w:num w:numId="27">
    <w:abstractNumId w:val="19"/>
  </w:num>
  <w:num w:numId="28">
    <w:abstractNumId w:val="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877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8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9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0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2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7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8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5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896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</w:rPr>
  </w:style>
  <w:style w:type="paragraph" w:styleId="897">
    <w:name w:val="Heading 1"/>
    <w:basedOn w:val="896"/>
    <w:next w:val="896"/>
    <w:link w:val="92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98">
    <w:name w:val="Heading 2"/>
    <w:basedOn w:val="896"/>
    <w:next w:val="896"/>
    <w:link w:val="92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99">
    <w:name w:val="Heading 3"/>
    <w:basedOn w:val="896"/>
    <w:next w:val="896"/>
    <w:link w:val="92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900">
    <w:name w:val="Heading 4"/>
    <w:basedOn w:val="896"/>
    <w:next w:val="896"/>
    <w:link w:val="92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01">
    <w:name w:val="Heading 5"/>
    <w:basedOn w:val="896"/>
    <w:next w:val="896"/>
    <w:link w:val="93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02">
    <w:name w:val="Heading 6"/>
    <w:basedOn w:val="896"/>
    <w:next w:val="896"/>
    <w:link w:val="93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903">
    <w:name w:val="Heading 7"/>
    <w:basedOn w:val="896"/>
    <w:next w:val="896"/>
    <w:link w:val="93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04">
    <w:name w:val="Heading 8"/>
    <w:basedOn w:val="896"/>
    <w:next w:val="896"/>
    <w:link w:val="93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905">
    <w:name w:val="Heading 9"/>
    <w:basedOn w:val="896"/>
    <w:next w:val="896"/>
    <w:link w:val="93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character" w:styleId="909" w:customStyle="1">
    <w:name w:val="Heading 1 Char"/>
    <w:basedOn w:val="906"/>
    <w:uiPriority w:val="9"/>
    <w:rPr>
      <w:rFonts w:ascii="Arial" w:hAnsi="Arial" w:eastAsia="Arial" w:cs="Arial"/>
      <w:sz w:val="40"/>
      <w:szCs w:val="40"/>
    </w:rPr>
  </w:style>
  <w:style w:type="character" w:styleId="910" w:customStyle="1">
    <w:name w:val="Heading 2 Char"/>
    <w:basedOn w:val="906"/>
    <w:uiPriority w:val="9"/>
    <w:rPr>
      <w:rFonts w:ascii="Arial" w:hAnsi="Arial" w:eastAsia="Arial" w:cs="Arial"/>
      <w:sz w:val="34"/>
    </w:rPr>
  </w:style>
  <w:style w:type="character" w:styleId="911" w:customStyle="1">
    <w:name w:val="Heading 3 Char"/>
    <w:basedOn w:val="906"/>
    <w:uiPriority w:val="9"/>
    <w:rPr>
      <w:rFonts w:ascii="Arial" w:hAnsi="Arial" w:eastAsia="Arial" w:cs="Arial"/>
      <w:sz w:val="30"/>
      <w:szCs w:val="30"/>
    </w:rPr>
  </w:style>
  <w:style w:type="character" w:styleId="912" w:customStyle="1">
    <w:name w:val="Heading 4 Char"/>
    <w:basedOn w:val="906"/>
    <w:uiPriority w:val="9"/>
    <w:rPr>
      <w:rFonts w:ascii="Arial" w:hAnsi="Arial" w:eastAsia="Arial" w:cs="Arial"/>
      <w:b/>
      <w:bCs/>
      <w:sz w:val="26"/>
      <w:szCs w:val="26"/>
    </w:rPr>
  </w:style>
  <w:style w:type="character" w:styleId="913" w:customStyle="1">
    <w:name w:val="Heading 5 Char"/>
    <w:basedOn w:val="906"/>
    <w:uiPriority w:val="9"/>
    <w:rPr>
      <w:rFonts w:ascii="Arial" w:hAnsi="Arial" w:eastAsia="Arial" w:cs="Arial"/>
      <w:b/>
      <w:bCs/>
      <w:sz w:val="24"/>
      <w:szCs w:val="24"/>
    </w:rPr>
  </w:style>
  <w:style w:type="character" w:styleId="914" w:customStyle="1">
    <w:name w:val="Heading 6 Char"/>
    <w:basedOn w:val="906"/>
    <w:uiPriority w:val="9"/>
    <w:rPr>
      <w:rFonts w:ascii="Arial" w:hAnsi="Arial" w:eastAsia="Arial" w:cs="Arial"/>
      <w:b/>
      <w:bCs/>
      <w:sz w:val="22"/>
      <w:szCs w:val="22"/>
    </w:rPr>
  </w:style>
  <w:style w:type="character" w:styleId="915" w:customStyle="1">
    <w:name w:val="Heading 7 Char"/>
    <w:basedOn w:val="9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16" w:customStyle="1">
    <w:name w:val="Heading 8 Char"/>
    <w:basedOn w:val="906"/>
    <w:uiPriority w:val="9"/>
    <w:rPr>
      <w:rFonts w:ascii="Arial" w:hAnsi="Arial" w:eastAsia="Arial" w:cs="Arial"/>
      <w:i/>
      <w:iCs/>
      <w:sz w:val="22"/>
      <w:szCs w:val="22"/>
    </w:rPr>
  </w:style>
  <w:style w:type="character" w:styleId="917" w:customStyle="1">
    <w:name w:val="Heading 9 Char"/>
    <w:basedOn w:val="906"/>
    <w:uiPriority w:val="9"/>
    <w:rPr>
      <w:rFonts w:ascii="Arial" w:hAnsi="Arial" w:eastAsia="Arial" w:cs="Arial"/>
      <w:i/>
      <w:iCs/>
      <w:sz w:val="21"/>
      <w:szCs w:val="21"/>
    </w:rPr>
  </w:style>
  <w:style w:type="character" w:styleId="918" w:customStyle="1">
    <w:name w:val="Title Char"/>
    <w:basedOn w:val="906"/>
    <w:uiPriority w:val="10"/>
    <w:rPr>
      <w:sz w:val="48"/>
      <w:szCs w:val="48"/>
    </w:rPr>
  </w:style>
  <w:style w:type="character" w:styleId="919" w:customStyle="1">
    <w:name w:val="Subtitle Char"/>
    <w:basedOn w:val="906"/>
    <w:uiPriority w:val="11"/>
    <w:rPr>
      <w:sz w:val="24"/>
      <w:szCs w:val="24"/>
    </w:rPr>
  </w:style>
  <w:style w:type="character" w:styleId="920" w:customStyle="1">
    <w:name w:val="Quote Char"/>
    <w:uiPriority w:val="29"/>
    <w:rPr>
      <w:i/>
    </w:rPr>
  </w:style>
  <w:style w:type="character" w:styleId="921" w:customStyle="1">
    <w:name w:val="Intense Quote Char"/>
    <w:uiPriority w:val="30"/>
    <w:rPr>
      <w:i/>
    </w:rPr>
  </w:style>
  <w:style w:type="character" w:styleId="922" w:customStyle="1">
    <w:name w:val="Header Char"/>
    <w:basedOn w:val="906"/>
    <w:uiPriority w:val="99"/>
  </w:style>
  <w:style w:type="character" w:styleId="923" w:customStyle="1">
    <w:name w:val="Caption Char"/>
    <w:uiPriority w:val="99"/>
  </w:style>
  <w:style w:type="character" w:styleId="924" w:customStyle="1">
    <w:name w:val="Footnote Text Char"/>
    <w:uiPriority w:val="99"/>
    <w:rPr>
      <w:sz w:val="18"/>
    </w:rPr>
  </w:style>
  <w:style w:type="character" w:styleId="925" w:customStyle="1">
    <w:name w:val="Endnote Text Char"/>
    <w:uiPriority w:val="99"/>
    <w:rPr>
      <w:sz w:val="20"/>
    </w:rPr>
  </w:style>
  <w:style w:type="character" w:styleId="926" w:customStyle="1">
    <w:name w:val="Заголовок 1 Знак"/>
    <w:basedOn w:val="906"/>
    <w:link w:val="897"/>
    <w:uiPriority w:val="9"/>
    <w:rPr>
      <w:rFonts w:ascii="Arial" w:hAnsi="Arial" w:eastAsia="Arial" w:cs="Arial"/>
      <w:sz w:val="40"/>
      <w:szCs w:val="40"/>
    </w:rPr>
  </w:style>
  <w:style w:type="character" w:styleId="927" w:customStyle="1">
    <w:name w:val="Заголовок 2 Знак"/>
    <w:basedOn w:val="906"/>
    <w:link w:val="898"/>
    <w:uiPriority w:val="9"/>
    <w:rPr>
      <w:rFonts w:ascii="Arial" w:hAnsi="Arial" w:eastAsia="Arial" w:cs="Arial"/>
      <w:sz w:val="34"/>
    </w:rPr>
  </w:style>
  <w:style w:type="character" w:styleId="928" w:customStyle="1">
    <w:name w:val="Заголовок 3 Знак"/>
    <w:basedOn w:val="906"/>
    <w:link w:val="899"/>
    <w:uiPriority w:val="9"/>
    <w:rPr>
      <w:rFonts w:ascii="Arial" w:hAnsi="Arial" w:eastAsia="Arial" w:cs="Arial"/>
      <w:sz w:val="30"/>
      <w:szCs w:val="30"/>
    </w:rPr>
  </w:style>
  <w:style w:type="character" w:styleId="929" w:customStyle="1">
    <w:name w:val="Заголовок 4 Знак"/>
    <w:basedOn w:val="906"/>
    <w:link w:val="900"/>
    <w:uiPriority w:val="9"/>
    <w:rPr>
      <w:rFonts w:ascii="Arial" w:hAnsi="Arial" w:eastAsia="Arial" w:cs="Arial"/>
      <w:b/>
      <w:bCs/>
      <w:sz w:val="26"/>
      <w:szCs w:val="26"/>
    </w:rPr>
  </w:style>
  <w:style w:type="character" w:styleId="930" w:customStyle="1">
    <w:name w:val="Заголовок 5 Знак"/>
    <w:basedOn w:val="906"/>
    <w:link w:val="901"/>
    <w:uiPriority w:val="9"/>
    <w:rPr>
      <w:rFonts w:ascii="Arial" w:hAnsi="Arial" w:eastAsia="Arial" w:cs="Arial"/>
      <w:b/>
      <w:bCs/>
      <w:sz w:val="24"/>
      <w:szCs w:val="24"/>
    </w:rPr>
  </w:style>
  <w:style w:type="character" w:styleId="931" w:customStyle="1">
    <w:name w:val="Заголовок 6 Знак"/>
    <w:basedOn w:val="906"/>
    <w:link w:val="902"/>
    <w:uiPriority w:val="9"/>
    <w:rPr>
      <w:rFonts w:ascii="Arial" w:hAnsi="Arial" w:eastAsia="Arial" w:cs="Arial"/>
      <w:b/>
      <w:bCs/>
      <w:sz w:val="22"/>
      <w:szCs w:val="22"/>
    </w:rPr>
  </w:style>
  <w:style w:type="character" w:styleId="932" w:customStyle="1">
    <w:name w:val="Заголовок 7 Знак"/>
    <w:basedOn w:val="906"/>
    <w:link w:val="9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33" w:customStyle="1">
    <w:name w:val="Заголовок 8 Знак"/>
    <w:basedOn w:val="906"/>
    <w:link w:val="904"/>
    <w:uiPriority w:val="9"/>
    <w:rPr>
      <w:rFonts w:ascii="Arial" w:hAnsi="Arial" w:eastAsia="Arial" w:cs="Arial"/>
      <w:i/>
      <w:iCs/>
      <w:sz w:val="22"/>
      <w:szCs w:val="22"/>
    </w:rPr>
  </w:style>
  <w:style w:type="character" w:styleId="934" w:customStyle="1">
    <w:name w:val="Заголовок 9 Знак"/>
    <w:basedOn w:val="906"/>
    <w:link w:val="905"/>
    <w:uiPriority w:val="9"/>
    <w:rPr>
      <w:rFonts w:ascii="Arial" w:hAnsi="Arial" w:eastAsia="Arial" w:cs="Arial"/>
      <w:i/>
      <w:iCs/>
      <w:sz w:val="21"/>
      <w:szCs w:val="21"/>
    </w:rPr>
  </w:style>
  <w:style w:type="paragraph" w:styleId="935">
    <w:name w:val="List Paragraph"/>
    <w:basedOn w:val="896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</w:rPr>
  </w:style>
  <w:style w:type="paragraph" w:styleId="936">
    <w:name w:val="No Spacing"/>
    <w:uiPriority w:val="1"/>
    <w:qFormat/>
  </w:style>
  <w:style w:type="paragraph" w:styleId="937">
    <w:name w:val="Title"/>
    <w:basedOn w:val="896"/>
    <w:next w:val="896"/>
    <w:link w:val="938"/>
    <w:uiPriority w:val="10"/>
    <w:qFormat/>
    <w:pPr>
      <w:contextualSpacing/>
      <w:spacing w:before="300"/>
    </w:pPr>
    <w:rPr>
      <w:sz w:val="48"/>
      <w:szCs w:val="48"/>
    </w:rPr>
  </w:style>
  <w:style w:type="character" w:styleId="938" w:customStyle="1">
    <w:name w:val="Заголовок Знак"/>
    <w:basedOn w:val="906"/>
    <w:link w:val="937"/>
    <w:uiPriority w:val="10"/>
    <w:rPr>
      <w:sz w:val="48"/>
      <w:szCs w:val="48"/>
    </w:rPr>
  </w:style>
  <w:style w:type="paragraph" w:styleId="939">
    <w:name w:val="Subtitle"/>
    <w:basedOn w:val="896"/>
    <w:next w:val="896"/>
    <w:link w:val="940"/>
    <w:uiPriority w:val="11"/>
    <w:qFormat/>
    <w:pPr>
      <w:spacing w:before="200"/>
    </w:pPr>
    <w:rPr>
      <w:sz w:val="24"/>
      <w:szCs w:val="24"/>
    </w:rPr>
  </w:style>
  <w:style w:type="character" w:styleId="940" w:customStyle="1">
    <w:name w:val="Подзаголовок Знак"/>
    <w:basedOn w:val="906"/>
    <w:link w:val="939"/>
    <w:uiPriority w:val="11"/>
    <w:rPr>
      <w:sz w:val="24"/>
      <w:szCs w:val="24"/>
    </w:rPr>
  </w:style>
  <w:style w:type="paragraph" w:styleId="941">
    <w:name w:val="Quote"/>
    <w:basedOn w:val="896"/>
    <w:next w:val="896"/>
    <w:link w:val="942"/>
    <w:uiPriority w:val="29"/>
    <w:qFormat/>
    <w:pPr>
      <w:ind w:left="720" w:right="720"/>
    </w:pPr>
    <w:rPr>
      <w:i/>
    </w:rPr>
  </w:style>
  <w:style w:type="character" w:styleId="942" w:customStyle="1">
    <w:name w:val="Цитата 2 Знак"/>
    <w:link w:val="941"/>
    <w:uiPriority w:val="29"/>
    <w:rPr>
      <w:i/>
    </w:rPr>
  </w:style>
  <w:style w:type="paragraph" w:styleId="943">
    <w:name w:val="Intense Quote"/>
    <w:basedOn w:val="896"/>
    <w:next w:val="896"/>
    <w:link w:val="94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44" w:customStyle="1">
    <w:name w:val="Выделенная цитата Знак"/>
    <w:link w:val="943"/>
    <w:uiPriority w:val="30"/>
    <w:rPr>
      <w:i/>
    </w:rPr>
  </w:style>
  <w:style w:type="paragraph" w:styleId="945">
    <w:name w:val="Header"/>
    <w:basedOn w:val="896"/>
    <w:link w:val="946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6" w:customStyle="1">
    <w:name w:val="Верхний колонтитул Знак1"/>
    <w:basedOn w:val="906"/>
    <w:link w:val="945"/>
    <w:uiPriority w:val="99"/>
  </w:style>
  <w:style w:type="paragraph" w:styleId="947">
    <w:name w:val="Footer"/>
    <w:basedOn w:val="896"/>
    <w:link w:val="950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8" w:customStyle="1">
    <w:name w:val="Footer Char"/>
    <w:basedOn w:val="906"/>
    <w:uiPriority w:val="99"/>
  </w:style>
  <w:style w:type="paragraph" w:styleId="949">
    <w:name w:val="Caption"/>
    <w:basedOn w:val="896"/>
    <w:qFormat/>
    <w:pPr>
      <w:spacing w:before="120" w:after="120"/>
      <w:suppressLineNumbers/>
    </w:pPr>
    <w:rPr>
      <w:rFonts w:ascii="Times New Roman" w:hAnsi="Times New Roman" w:cs="Arial"/>
      <w:i/>
      <w:iCs/>
      <w:sz w:val="24"/>
      <w:szCs w:val="24"/>
    </w:rPr>
  </w:style>
  <w:style w:type="character" w:styleId="950" w:customStyle="1">
    <w:name w:val="Нижний колонтитул Знак1"/>
    <w:link w:val="947"/>
    <w:uiPriority w:val="99"/>
  </w:style>
  <w:style w:type="table" w:styleId="951">
    <w:name w:val="Table Grid"/>
    <w:basedOn w:val="907"/>
    <w:uiPriority w:val="59"/>
    <w:tblPr/>
  </w:style>
  <w:style w:type="table" w:styleId="95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3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4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5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56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58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8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8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8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8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8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8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86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8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8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8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9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9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9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93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9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9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9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9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9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9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00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1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1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1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1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1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2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21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42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4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4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4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4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4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4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49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5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5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5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6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6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6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6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6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6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6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6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6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6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7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7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7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7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7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7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7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77">
    <w:name w:val="Hyperlink"/>
    <w:rPr>
      <w:color w:val="0000ff"/>
      <w:u w:val="single"/>
    </w:rPr>
  </w:style>
  <w:style w:type="paragraph" w:styleId="1078">
    <w:name w:val="footnote text"/>
    <w:basedOn w:val="896"/>
    <w:link w:val="1079"/>
    <w:pPr>
      <w:spacing w:after="0" w:line="240" w:lineRule="auto"/>
    </w:pPr>
    <w:rPr>
      <w:sz w:val="20"/>
      <w:szCs w:val="20"/>
    </w:rPr>
  </w:style>
  <w:style w:type="character" w:styleId="1079" w:customStyle="1">
    <w:name w:val="Текст сноски Знак1"/>
    <w:link w:val="1078"/>
    <w:uiPriority w:val="99"/>
    <w:rPr>
      <w:sz w:val="18"/>
    </w:rPr>
  </w:style>
  <w:style w:type="character" w:styleId="1080">
    <w:name w:val="footnote reference"/>
    <w:basedOn w:val="906"/>
    <w:rPr>
      <w:vertAlign w:val="superscript"/>
    </w:rPr>
  </w:style>
  <w:style w:type="paragraph" w:styleId="1081">
    <w:name w:val="endnote text"/>
    <w:basedOn w:val="896"/>
    <w:link w:val="1082"/>
    <w:pPr>
      <w:spacing w:after="0" w:line="240" w:lineRule="auto"/>
    </w:pPr>
    <w:rPr>
      <w:sz w:val="20"/>
      <w:szCs w:val="20"/>
    </w:rPr>
  </w:style>
  <w:style w:type="character" w:styleId="1082" w:customStyle="1">
    <w:name w:val="Текст концевой сноски Знак1"/>
    <w:link w:val="1081"/>
    <w:uiPriority w:val="99"/>
    <w:rPr>
      <w:sz w:val="20"/>
    </w:rPr>
  </w:style>
  <w:style w:type="character" w:styleId="1083">
    <w:name w:val="endnote reference"/>
    <w:basedOn w:val="906"/>
    <w:rPr>
      <w:vertAlign w:val="superscript"/>
    </w:rPr>
  </w:style>
  <w:style w:type="paragraph" w:styleId="1084">
    <w:name w:val="toc 1"/>
    <w:basedOn w:val="896"/>
    <w:next w:val="896"/>
    <w:uiPriority w:val="39"/>
    <w:unhideWhenUsed/>
    <w:pPr>
      <w:spacing w:after="57"/>
    </w:pPr>
  </w:style>
  <w:style w:type="paragraph" w:styleId="1085">
    <w:name w:val="toc 2"/>
    <w:basedOn w:val="896"/>
    <w:next w:val="896"/>
    <w:uiPriority w:val="39"/>
    <w:unhideWhenUsed/>
    <w:pPr>
      <w:ind w:left="283"/>
      <w:spacing w:after="57"/>
    </w:pPr>
  </w:style>
  <w:style w:type="paragraph" w:styleId="1086">
    <w:name w:val="toc 3"/>
    <w:basedOn w:val="896"/>
    <w:next w:val="896"/>
    <w:uiPriority w:val="39"/>
    <w:unhideWhenUsed/>
    <w:pPr>
      <w:ind w:left="567"/>
      <w:spacing w:after="57"/>
    </w:pPr>
  </w:style>
  <w:style w:type="paragraph" w:styleId="1087">
    <w:name w:val="toc 4"/>
    <w:basedOn w:val="896"/>
    <w:next w:val="896"/>
    <w:uiPriority w:val="39"/>
    <w:unhideWhenUsed/>
    <w:pPr>
      <w:ind w:left="850"/>
      <w:spacing w:after="57"/>
    </w:pPr>
  </w:style>
  <w:style w:type="paragraph" w:styleId="1088">
    <w:name w:val="toc 5"/>
    <w:basedOn w:val="896"/>
    <w:next w:val="896"/>
    <w:uiPriority w:val="39"/>
    <w:unhideWhenUsed/>
    <w:pPr>
      <w:ind w:left="1134"/>
      <w:spacing w:after="57"/>
    </w:pPr>
  </w:style>
  <w:style w:type="paragraph" w:styleId="1089">
    <w:name w:val="toc 6"/>
    <w:basedOn w:val="896"/>
    <w:next w:val="896"/>
    <w:uiPriority w:val="39"/>
    <w:unhideWhenUsed/>
    <w:pPr>
      <w:ind w:left="1417"/>
      <w:spacing w:after="57"/>
    </w:pPr>
  </w:style>
  <w:style w:type="paragraph" w:styleId="1090">
    <w:name w:val="toc 7"/>
    <w:basedOn w:val="896"/>
    <w:next w:val="896"/>
    <w:uiPriority w:val="39"/>
    <w:unhideWhenUsed/>
    <w:pPr>
      <w:ind w:left="1701"/>
      <w:spacing w:after="57"/>
    </w:pPr>
  </w:style>
  <w:style w:type="paragraph" w:styleId="1091">
    <w:name w:val="toc 8"/>
    <w:basedOn w:val="896"/>
    <w:next w:val="896"/>
    <w:uiPriority w:val="39"/>
    <w:unhideWhenUsed/>
    <w:pPr>
      <w:ind w:left="1984"/>
      <w:spacing w:after="57"/>
    </w:pPr>
  </w:style>
  <w:style w:type="paragraph" w:styleId="1092">
    <w:name w:val="toc 9"/>
    <w:basedOn w:val="896"/>
    <w:next w:val="896"/>
    <w:uiPriority w:val="39"/>
    <w:unhideWhenUsed/>
    <w:pPr>
      <w:ind w:left="2268"/>
      <w:spacing w:after="57"/>
    </w:pPr>
  </w:style>
  <w:style w:type="paragraph" w:styleId="1093">
    <w:name w:val="TOC Heading"/>
    <w:uiPriority w:val="39"/>
    <w:unhideWhenUsed/>
  </w:style>
  <w:style w:type="paragraph" w:styleId="1094">
    <w:name w:val="table of figures"/>
    <w:basedOn w:val="896"/>
    <w:next w:val="896"/>
    <w:uiPriority w:val="99"/>
    <w:unhideWhenUsed/>
    <w:pPr>
      <w:spacing w:after="0"/>
    </w:pPr>
  </w:style>
  <w:style w:type="character" w:styleId="1095" w:customStyle="1">
    <w:name w:val="WW8Num1z0"/>
    <w:rPr>
      <w:rFonts w:cs="Times New Roman"/>
    </w:rPr>
  </w:style>
  <w:style w:type="character" w:styleId="1096" w:customStyle="1">
    <w:name w:val="WW8Num2z0"/>
    <w:rPr>
      <w:rFonts w:ascii="Times New Roman" w:hAnsi="Times New Roman" w:cs="Times New Roman"/>
      <w:bCs/>
      <w:i w:val="0"/>
      <w:sz w:val="28"/>
      <w:szCs w:val="28"/>
      <w:lang w:eastAsia="ru-RU"/>
    </w:rPr>
  </w:style>
  <w:style w:type="character" w:styleId="1097" w:customStyle="1">
    <w:name w:val="WW8Num3z0"/>
  </w:style>
  <w:style w:type="character" w:styleId="1098" w:customStyle="1">
    <w:name w:val="WW8Num3z1"/>
  </w:style>
  <w:style w:type="character" w:styleId="1099" w:customStyle="1">
    <w:name w:val="WW8Num3z2"/>
  </w:style>
  <w:style w:type="character" w:styleId="1100" w:customStyle="1">
    <w:name w:val="WW8Num3z3"/>
  </w:style>
  <w:style w:type="character" w:styleId="1101" w:customStyle="1">
    <w:name w:val="WW8Num3z4"/>
  </w:style>
  <w:style w:type="character" w:styleId="1102" w:customStyle="1">
    <w:name w:val="WW8Num3z5"/>
  </w:style>
  <w:style w:type="character" w:styleId="1103" w:customStyle="1">
    <w:name w:val="WW8Num3z6"/>
  </w:style>
  <w:style w:type="character" w:styleId="1104" w:customStyle="1">
    <w:name w:val="WW8Num3z7"/>
  </w:style>
  <w:style w:type="character" w:styleId="1105" w:customStyle="1">
    <w:name w:val="WW8Num3z8"/>
  </w:style>
  <w:style w:type="character" w:styleId="1106" w:customStyle="1">
    <w:name w:val="Основной шрифт абзаца3"/>
  </w:style>
  <w:style w:type="character" w:styleId="1107" w:customStyle="1">
    <w:name w:val="WW8Num1z2"/>
  </w:style>
  <w:style w:type="character" w:styleId="1108" w:customStyle="1">
    <w:name w:val="WW8Num2z1"/>
  </w:style>
  <w:style w:type="character" w:styleId="1109" w:customStyle="1">
    <w:name w:val="WW8Num2z2"/>
  </w:style>
  <w:style w:type="character" w:styleId="1110" w:customStyle="1">
    <w:name w:val="WW8Num2z3"/>
  </w:style>
  <w:style w:type="character" w:styleId="1111" w:customStyle="1">
    <w:name w:val="WW8Num2z4"/>
  </w:style>
  <w:style w:type="character" w:styleId="1112" w:customStyle="1">
    <w:name w:val="WW8Num2z5"/>
  </w:style>
  <w:style w:type="character" w:styleId="1113" w:customStyle="1">
    <w:name w:val="WW8Num2z6"/>
  </w:style>
  <w:style w:type="character" w:styleId="1114" w:customStyle="1">
    <w:name w:val="WW8Num2z7"/>
  </w:style>
  <w:style w:type="character" w:styleId="1115" w:customStyle="1">
    <w:name w:val="WW8Num2z8"/>
  </w:style>
  <w:style w:type="character" w:styleId="1116" w:customStyle="1">
    <w:name w:val="WW8Num4z0"/>
    <w:rPr>
      <w:rFonts w:cs="Times New Roman"/>
    </w:rPr>
  </w:style>
  <w:style w:type="character" w:styleId="1117" w:customStyle="1">
    <w:name w:val="WW8Num4z1"/>
  </w:style>
  <w:style w:type="character" w:styleId="1118" w:customStyle="1">
    <w:name w:val="WW8Num4z2"/>
  </w:style>
  <w:style w:type="character" w:styleId="1119" w:customStyle="1">
    <w:name w:val="WW8Num4z3"/>
  </w:style>
  <w:style w:type="character" w:styleId="1120" w:customStyle="1">
    <w:name w:val="WW8Num4z4"/>
  </w:style>
  <w:style w:type="character" w:styleId="1121" w:customStyle="1">
    <w:name w:val="WW8Num4z5"/>
  </w:style>
  <w:style w:type="character" w:styleId="1122" w:customStyle="1">
    <w:name w:val="WW8Num4z6"/>
  </w:style>
  <w:style w:type="character" w:styleId="1123" w:customStyle="1">
    <w:name w:val="WW8Num4z7"/>
  </w:style>
  <w:style w:type="character" w:styleId="1124" w:customStyle="1">
    <w:name w:val="WW8Num4z8"/>
  </w:style>
  <w:style w:type="character" w:styleId="1125" w:customStyle="1">
    <w:name w:val="WW8Num5z0"/>
    <w:rPr>
      <w:rFonts w:ascii="Times New Roman" w:hAnsi="Times New Roman" w:cs="Times New Roman"/>
      <w:bCs/>
      <w:i w:val="0"/>
      <w:sz w:val="28"/>
      <w:szCs w:val="28"/>
    </w:rPr>
  </w:style>
  <w:style w:type="character" w:styleId="1126" w:customStyle="1">
    <w:name w:val="WW8Num5z1"/>
  </w:style>
  <w:style w:type="character" w:styleId="1127" w:customStyle="1">
    <w:name w:val="WW8Num5z2"/>
  </w:style>
  <w:style w:type="character" w:styleId="1128" w:customStyle="1">
    <w:name w:val="WW8Num5z3"/>
  </w:style>
  <w:style w:type="character" w:styleId="1129" w:customStyle="1">
    <w:name w:val="WW8Num5z4"/>
  </w:style>
  <w:style w:type="character" w:styleId="1130" w:customStyle="1">
    <w:name w:val="WW8Num5z5"/>
  </w:style>
  <w:style w:type="character" w:styleId="1131" w:customStyle="1">
    <w:name w:val="WW8Num5z6"/>
  </w:style>
  <w:style w:type="character" w:styleId="1132" w:customStyle="1">
    <w:name w:val="WW8Num5z7"/>
  </w:style>
  <w:style w:type="character" w:styleId="1133" w:customStyle="1">
    <w:name w:val="WW8Num5z8"/>
  </w:style>
  <w:style w:type="character" w:styleId="1134" w:customStyle="1">
    <w:name w:val="WW8Num6z0"/>
    <w:rPr>
      <w:b w:val="0"/>
    </w:rPr>
  </w:style>
  <w:style w:type="character" w:styleId="1135" w:customStyle="1">
    <w:name w:val="WW8Num6z1"/>
  </w:style>
  <w:style w:type="character" w:styleId="1136" w:customStyle="1">
    <w:name w:val="WW8Num6z2"/>
  </w:style>
  <w:style w:type="character" w:styleId="1137" w:customStyle="1">
    <w:name w:val="WW8Num6z3"/>
  </w:style>
  <w:style w:type="character" w:styleId="1138" w:customStyle="1">
    <w:name w:val="WW8Num6z4"/>
  </w:style>
  <w:style w:type="character" w:styleId="1139" w:customStyle="1">
    <w:name w:val="WW8Num6z5"/>
  </w:style>
  <w:style w:type="character" w:styleId="1140" w:customStyle="1">
    <w:name w:val="WW8Num6z6"/>
  </w:style>
  <w:style w:type="character" w:styleId="1141" w:customStyle="1">
    <w:name w:val="WW8Num6z7"/>
  </w:style>
  <w:style w:type="character" w:styleId="1142" w:customStyle="1">
    <w:name w:val="WW8Num6z8"/>
  </w:style>
  <w:style w:type="character" w:styleId="1143" w:customStyle="1">
    <w:name w:val="WW8Num7z0"/>
    <w:rPr>
      <w:b w:val="0"/>
    </w:rPr>
  </w:style>
  <w:style w:type="character" w:styleId="1144" w:customStyle="1">
    <w:name w:val="WW8Num7z1"/>
  </w:style>
  <w:style w:type="character" w:styleId="1145" w:customStyle="1">
    <w:name w:val="WW8Num7z2"/>
  </w:style>
  <w:style w:type="character" w:styleId="1146" w:customStyle="1">
    <w:name w:val="WW8Num7z3"/>
  </w:style>
  <w:style w:type="character" w:styleId="1147" w:customStyle="1">
    <w:name w:val="WW8Num7z4"/>
  </w:style>
  <w:style w:type="character" w:styleId="1148" w:customStyle="1">
    <w:name w:val="WW8Num7z5"/>
  </w:style>
  <w:style w:type="character" w:styleId="1149" w:customStyle="1">
    <w:name w:val="WW8Num7z6"/>
  </w:style>
  <w:style w:type="character" w:styleId="1150" w:customStyle="1">
    <w:name w:val="WW8Num7z7"/>
  </w:style>
  <w:style w:type="character" w:styleId="1151" w:customStyle="1">
    <w:name w:val="WW8Num7z8"/>
  </w:style>
  <w:style w:type="character" w:styleId="1152" w:customStyle="1">
    <w:name w:val="Основной шрифт абзаца2"/>
  </w:style>
  <w:style w:type="character" w:styleId="1153" w:customStyle="1">
    <w:name w:val="Основной шрифт абзаца1"/>
  </w:style>
  <w:style w:type="character" w:styleId="1154" w:customStyle="1">
    <w:name w:val="Текст сноски Знак"/>
    <w:rPr>
      <w:rFonts w:ascii="Calibri" w:hAnsi="Calibri" w:cs="Times New Roman"/>
      <w:sz w:val="20"/>
      <w:szCs w:val="20"/>
    </w:rPr>
  </w:style>
  <w:style w:type="character" w:styleId="1155" w:customStyle="1">
    <w:name w:val="Символ сноски"/>
    <w:rPr>
      <w:rFonts w:cs="Times New Roman"/>
      <w:vertAlign w:val="superscript"/>
    </w:rPr>
  </w:style>
  <w:style w:type="character" w:styleId="1156" w:customStyle="1">
    <w:name w:val="Footnote Characters"/>
    <w:rPr>
      <w:rFonts w:cs="Times New Roman"/>
      <w:vertAlign w:val="superscript"/>
    </w:rPr>
  </w:style>
  <w:style w:type="character" w:styleId="1157" w:customStyle="1">
    <w:name w:val="Верхний колонтитул Знак"/>
    <w:rPr>
      <w:rFonts w:ascii="Calibri" w:hAnsi="Calibri" w:cs="Times New Roman"/>
    </w:rPr>
  </w:style>
  <w:style w:type="character" w:styleId="1158" w:customStyle="1">
    <w:name w:val="Нижний колонтитул Знак"/>
    <w:rPr>
      <w:rFonts w:ascii="Calibri" w:hAnsi="Calibri" w:cs="Times New Roman"/>
    </w:rPr>
  </w:style>
  <w:style w:type="character" w:styleId="1159" w:customStyle="1">
    <w:name w:val="Текст концевой сноски Знак"/>
    <w:rPr>
      <w:sz w:val="20"/>
      <w:szCs w:val="20"/>
    </w:rPr>
  </w:style>
  <w:style w:type="character" w:styleId="1160" w:customStyle="1">
    <w:name w:val="Символ концевой сноски"/>
    <w:rPr>
      <w:vertAlign w:val="superscript"/>
    </w:rPr>
  </w:style>
  <w:style w:type="character" w:styleId="1161" w:customStyle="1">
    <w:name w:val="Endnote Characters"/>
    <w:rPr>
      <w:vertAlign w:val="superscript"/>
    </w:rPr>
  </w:style>
  <w:style w:type="character" w:styleId="1162" w:customStyle="1">
    <w:name w:val="Текст выноски Знак"/>
    <w:rPr>
      <w:rFonts w:ascii="Tahoma" w:hAnsi="Tahoma" w:eastAsia="Calibri" w:cs="Tahoma"/>
      <w:sz w:val="16"/>
      <w:szCs w:val="16"/>
      <w:lang w:eastAsia="zh-CN"/>
    </w:rPr>
  </w:style>
  <w:style w:type="character" w:styleId="1163" w:customStyle="1">
    <w:name w:val="Знак концевой сноски1"/>
    <w:rPr>
      <w:vertAlign w:val="superscript"/>
    </w:rPr>
  </w:style>
  <w:style w:type="character" w:styleId="1164" w:customStyle="1">
    <w:name w:val="Знак сноски1"/>
    <w:rPr>
      <w:vertAlign w:val="superscript"/>
    </w:rPr>
  </w:style>
  <w:style w:type="character" w:styleId="1165" w:customStyle="1">
    <w:name w:val="Знак примечания1"/>
    <w:rPr>
      <w:sz w:val="16"/>
      <w:szCs w:val="16"/>
    </w:rPr>
  </w:style>
  <w:style w:type="character" w:styleId="1166" w:customStyle="1">
    <w:name w:val="Текст примечания Знак"/>
    <w:rPr>
      <w:rFonts w:ascii="Calibri" w:hAnsi="Calibri" w:eastAsia="Calibri"/>
      <w:lang w:eastAsia="zh-CN"/>
    </w:rPr>
  </w:style>
  <w:style w:type="character" w:styleId="1167" w:customStyle="1">
    <w:name w:val="Тема примечания Знак"/>
    <w:rPr>
      <w:rFonts w:ascii="Calibri" w:hAnsi="Calibri" w:eastAsia="Calibri"/>
      <w:b/>
      <w:bCs/>
      <w:lang w:eastAsia="zh-CN"/>
    </w:rPr>
  </w:style>
  <w:style w:type="character" w:styleId="1168">
    <w:name w:val="Strong"/>
    <w:qFormat/>
    <w:rPr>
      <w:b/>
      <w:bCs/>
    </w:rPr>
  </w:style>
  <w:style w:type="character" w:styleId="1169" w:customStyle="1">
    <w:name w:val="Знак сноски2"/>
    <w:rPr>
      <w:vertAlign w:val="superscript"/>
    </w:rPr>
  </w:style>
  <w:style w:type="character" w:styleId="1170" w:customStyle="1">
    <w:name w:val="Знак концевой сноски2"/>
    <w:rPr>
      <w:vertAlign w:val="superscript"/>
    </w:rPr>
  </w:style>
  <w:style w:type="paragraph" w:styleId="1171" w:customStyle="1">
    <w:name w:val="Заголовок1"/>
    <w:basedOn w:val="896"/>
    <w:next w:val="1172"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1172">
    <w:name w:val="Body Text"/>
    <w:basedOn w:val="896"/>
    <w:pPr>
      <w:spacing w:after="140"/>
    </w:pPr>
  </w:style>
  <w:style w:type="paragraph" w:styleId="1173">
    <w:name w:val="List"/>
    <w:basedOn w:val="1172"/>
    <w:rPr>
      <w:rFonts w:ascii="Times New Roman" w:hAnsi="Times New Roman" w:cs="Arial"/>
    </w:rPr>
  </w:style>
  <w:style w:type="paragraph" w:styleId="1174" w:customStyle="1">
    <w:name w:val="Указатель4"/>
    <w:basedOn w:val="896"/>
    <w:pPr>
      <w:suppressLineNumbers/>
    </w:pPr>
    <w:rPr>
      <w:rFonts w:ascii="Times New Roman" w:hAnsi="Times New Roman" w:cs="Arial"/>
    </w:rPr>
  </w:style>
  <w:style w:type="paragraph" w:styleId="1175" w:customStyle="1">
    <w:name w:val="Название объекта3"/>
    <w:basedOn w:val="896"/>
    <w:pPr>
      <w:spacing w:before="120" w:after="120"/>
      <w:suppressLineNumbers/>
    </w:pPr>
    <w:rPr>
      <w:rFonts w:ascii="Times New Roman" w:hAnsi="Times New Roman" w:cs="Arial"/>
      <w:i/>
      <w:iCs/>
      <w:sz w:val="24"/>
      <w:szCs w:val="24"/>
    </w:rPr>
  </w:style>
  <w:style w:type="paragraph" w:styleId="1176" w:customStyle="1">
    <w:name w:val="Указатель3"/>
    <w:basedOn w:val="896"/>
    <w:pPr>
      <w:suppressLineNumbers/>
    </w:pPr>
    <w:rPr>
      <w:rFonts w:ascii="Times New Roman" w:hAnsi="Times New Roman" w:cs="Arial"/>
    </w:rPr>
  </w:style>
  <w:style w:type="paragraph" w:styleId="1177" w:customStyle="1">
    <w:name w:val="Название объекта2"/>
    <w:basedOn w:val="896"/>
    <w:pPr>
      <w:spacing w:before="120" w:after="120"/>
      <w:suppressLineNumbers/>
    </w:pPr>
    <w:rPr>
      <w:rFonts w:ascii="Times New Roman" w:hAnsi="Times New Roman" w:cs="Arial"/>
      <w:i/>
      <w:iCs/>
      <w:sz w:val="24"/>
      <w:szCs w:val="24"/>
    </w:rPr>
  </w:style>
  <w:style w:type="paragraph" w:styleId="1178" w:customStyle="1">
    <w:name w:val="Указатель2"/>
    <w:basedOn w:val="896"/>
    <w:pPr>
      <w:suppressLineNumbers/>
    </w:pPr>
    <w:rPr>
      <w:rFonts w:ascii="Times New Roman" w:hAnsi="Times New Roman" w:cs="Arial"/>
    </w:rPr>
  </w:style>
  <w:style w:type="paragraph" w:styleId="1179" w:customStyle="1">
    <w:name w:val="Название объекта1"/>
    <w:basedOn w:val="896"/>
    <w:pPr>
      <w:spacing w:before="120" w:after="120"/>
      <w:suppressLineNumbers/>
    </w:pPr>
    <w:rPr>
      <w:rFonts w:ascii="Times New Roman" w:hAnsi="Times New Roman" w:cs="Arial"/>
      <w:i/>
      <w:iCs/>
      <w:sz w:val="24"/>
      <w:szCs w:val="24"/>
    </w:rPr>
  </w:style>
  <w:style w:type="paragraph" w:styleId="1180" w:customStyle="1">
    <w:name w:val="Указатель1"/>
    <w:basedOn w:val="896"/>
    <w:pPr>
      <w:suppressLineNumbers/>
    </w:pPr>
    <w:rPr>
      <w:rFonts w:ascii="Times New Roman" w:hAnsi="Times New Roman" w:cs="Arial"/>
    </w:rPr>
  </w:style>
  <w:style w:type="paragraph" w:styleId="1181">
    <w:name w:val="Balloon Text"/>
    <w:basedOn w:val="896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paragraph" w:styleId="1182">
    <w:name w:val="Normal (Web)"/>
    <w:basedOn w:val="896"/>
    <w:uiPriority w:val="99"/>
    <w:pPr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183" w:customStyle="1">
    <w:name w:val="Основной текст6"/>
    <w:basedOn w:val="896"/>
    <w:pPr>
      <w:ind w:hanging="1500"/>
      <w:jc w:val="center"/>
      <w:spacing w:before="420" w:after="0" w:line="346" w:lineRule="exact"/>
      <w:shd w:val="clear" w:color="auto" w:fill="ffffff"/>
      <w:widowControl w:val="off"/>
    </w:pPr>
    <w:rPr>
      <w:rFonts w:ascii="Times New Roman" w:hAnsi="Times New Roman" w:eastAsia="Times New Roman"/>
      <w:color w:val="000000"/>
      <w:spacing w:val="7"/>
      <w:sz w:val="23"/>
      <w:szCs w:val="23"/>
      <w:lang w:val="ru"/>
    </w:rPr>
  </w:style>
  <w:style w:type="paragraph" w:styleId="1184" w:customStyle="1">
    <w:name w:val="Default"/>
    <w:rPr>
      <w:color w:val="000000"/>
      <w:sz w:val="24"/>
      <w:szCs w:val="24"/>
    </w:rPr>
  </w:style>
  <w:style w:type="paragraph" w:styleId="1185" w:customStyle="1">
    <w:name w:val="Текст примечания1"/>
    <w:basedOn w:val="896"/>
    <w:rPr>
      <w:sz w:val="20"/>
      <w:szCs w:val="20"/>
    </w:rPr>
  </w:style>
  <w:style w:type="paragraph" w:styleId="1186">
    <w:name w:val="annotation subject"/>
    <w:basedOn w:val="1185"/>
    <w:next w:val="1185"/>
    <w:rPr>
      <w:b/>
      <w:bCs/>
    </w:rPr>
  </w:style>
  <w:style w:type="paragraph" w:styleId="1187" w:customStyle="1">
    <w:name w:val="Содержимое таблицы"/>
    <w:basedOn w:val="896"/>
    <w:pPr>
      <w:suppressLineNumbers/>
    </w:pPr>
  </w:style>
  <w:style w:type="paragraph" w:styleId="1188" w:customStyle="1">
    <w:name w:val="Заголовок таблицы"/>
    <w:basedOn w:val="1187"/>
    <w:pPr>
      <w:jc w:val="center"/>
    </w:pPr>
    <w:rPr>
      <w:b/>
      <w:bCs/>
    </w:rPr>
  </w:style>
  <w:style w:type="character" w:styleId="1189">
    <w:name w:val="annotation reference"/>
    <w:uiPriority w:val="99"/>
    <w:semiHidden/>
    <w:unhideWhenUsed/>
    <w:rPr>
      <w:sz w:val="16"/>
      <w:szCs w:val="16"/>
    </w:rPr>
  </w:style>
  <w:style w:type="paragraph" w:styleId="1190">
    <w:name w:val="annotation text"/>
    <w:basedOn w:val="896"/>
    <w:link w:val="1191"/>
    <w:uiPriority w:val="99"/>
    <w:semiHidden/>
    <w:unhideWhenUsed/>
    <w:rPr>
      <w:sz w:val="20"/>
      <w:szCs w:val="20"/>
    </w:rPr>
  </w:style>
  <w:style w:type="character" w:styleId="1191" w:customStyle="1">
    <w:name w:val="Текст примечания Знак1"/>
    <w:link w:val="1190"/>
    <w:uiPriority w:val="99"/>
    <w:semiHidden/>
    <w:rPr>
      <w:rFonts w:ascii="Calibri" w:hAnsi="Calibri" w:eastAsia="Calibri"/>
      <w:lang w:eastAsia="zh-CN"/>
    </w:rPr>
  </w:style>
  <w:style w:type="paragraph" w:styleId="1192" w:customStyle="1">
    <w:name w:val="ConsPlusTitle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depeconom.admhmao.ru/upload/iblock/43f/Prikaz_Luchshie-proekty-_praktiki_-po-funktsionirovaniyu-antimonopolnogo-komplaensa.pdf" TargetMode="External"/><Relationship Id="rId13" Type="http://schemas.openxmlformats.org/officeDocument/2006/relationships/hyperlink" Target="https://login.consultant.ru/link/?req=doc&amp;base=LAW&amp;n=474932&amp;dst=660&amp;field=134&amp;date=16.01.2025" TargetMode="External"/><Relationship Id="rId14" Type="http://schemas.openxmlformats.org/officeDocument/2006/relationships/hyperlink" Target="http://deppolitiki.admhmao.ru/" TargetMode="External"/><Relationship Id="rId15" Type="http://schemas.openxmlformats.org/officeDocument/2006/relationships/hyperlink" Target="http://nasledie.admhmao.ru/" TargetMode="External"/><Relationship Id="rId16" Type="http://schemas.openxmlformats.org/officeDocument/2006/relationships/hyperlink" Target="http://archivesl.admhmao.ru/" TargetMode="External"/><Relationship Id="rId17" Type="http://schemas.openxmlformats.org/officeDocument/2006/relationships/hyperlink" Target="http://archivesl.admhmao.ru/" TargetMode="External"/><Relationship Id="rId18" Type="http://schemas.openxmlformats.org/officeDocument/2006/relationships/hyperlink" Target="http://nasledie.admhmao.ru/" TargetMode="External"/><Relationship Id="rId19" Type="http://schemas.openxmlformats.org/officeDocument/2006/relationships/hyperlink" Target="http://kontrol.admhmao.ru/" TargetMode="External"/><Relationship Id="rId20" Type="http://schemas.openxmlformats.org/officeDocument/2006/relationships/hyperlink" Target="http://deppolitiki.admhma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AD2E-EAFA-4A3A-B110-559A0026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Миних Марина Александровна</dc:creator>
  <cp:revision>258</cp:revision>
  <dcterms:created xsi:type="dcterms:W3CDTF">2022-01-25T06:14:00Z</dcterms:created>
  <dcterms:modified xsi:type="dcterms:W3CDTF">2025-02-21T12:04:45Z</dcterms:modified>
  <cp:version>917504</cp:version>
</cp:coreProperties>
</file>