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2E" w:rsidRPr="003954FB" w:rsidRDefault="00DC5C6C">
      <w:pPr>
        <w:spacing w:after="85" w:line="269" w:lineRule="auto"/>
        <w:ind w:left="589" w:right="590" w:firstLine="0"/>
        <w:jc w:val="center"/>
        <w:rPr>
          <w:szCs w:val="28"/>
        </w:rPr>
      </w:pPr>
      <w:r w:rsidRPr="003954FB">
        <w:rPr>
          <w:b/>
          <w:szCs w:val="28"/>
        </w:rPr>
        <w:t>Сведения об эффекте, достигнутом при внедрении Стандарта развития конкуренции</w:t>
      </w:r>
      <w:r w:rsidR="004527F4">
        <w:rPr>
          <w:b/>
          <w:szCs w:val="28"/>
        </w:rPr>
        <w:t xml:space="preserve"> за 2024 год</w:t>
      </w:r>
    </w:p>
    <w:p w:rsidR="0085222E" w:rsidRPr="003954FB" w:rsidRDefault="00DC5C6C" w:rsidP="006111E6">
      <w:pPr>
        <w:ind w:left="0" w:right="0"/>
        <w:rPr>
          <w:szCs w:val="28"/>
        </w:rPr>
      </w:pPr>
      <w:r w:rsidRPr="003954FB">
        <w:rPr>
          <w:szCs w:val="28"/>
        </w:rPr>
        <w:t xml:space="preserve">Мероприятия по содействию развитию конкуренции реализуются исполнительными органами автономного округа во взаимодействии </w:t>
      </w:r>
      <w:r w:rsidR="00AD3835">
        <w:rPr>
          <w:szCs w:val="28"/>
        </w:rPr>
        <w:br/>
      </w:r>
      <w:r w:rsidRPr="003954FB">
        <w:rPr>
          <w:szCs w:val="28"/>
        </w:rPr>
        <w:t xml:space="preserve">с органами местного самоуправления на основе плана мероприятий («дорожной карты») по содействию развитию конкуренции в автономном округе, утвержденного распоряжением Губернатора автономного округа </w:t>
      </w:r>
      <w:r w:rsidR="00AD3835">
        <w:rPr>
          <w:szCs w:val="28"/>
        </w:rPr>
        <w:br/>
      </w:r>
      <w:r w:rsidRPr="003954FB">
        <w:rPr>
          <w:szCs w:val="28"/>
        </w:rPr>
        <w:t>от 1 августа 2019 года № 162-рг.</w:t>
      </w:r>
    </w:p>
    <w:p w:rsidR="00B7082A" w:rsidRPr="00D315C4" w:rsidRDefault="00DC5C6C" w:rsidP="006111E6">
      <w:pPr>
        <w:ind w:left="0" w:right="0"/>
        <w:rPr>
          <w:szCs w:val="28"/>
        </w:rPr>
      </w:pPr>
      <w:r w:rsidRPr="00EF121B">
        <w:rPr>
          <w:szCs w:val="28"/>
        </w:rPr>
        <w:t xml:space="preserve">В результате реализации </w:t>
      </w:r>
      <w:r w:rsidR="00153B0A" w:rsidRPr="00EF121B">
        <w:rPr>
          <w:szCs w:val="28"/>
        </w:rPr>
        <w:t>мероприятий</w:t>
      </w:r>
      <w:r w:rsidR="00EB4B12" w:rsidRPr="00EF121B">
        <w:rPr>
          <w:szCs w:val="28"/>
        </w:rPr>
        <w:t xml:space="preserve"> д</w:t>
      </w:r>
      <w:r w:rsidR="00B7082A" w:rsidRPr="00EF121B">
        <w:rPr>
          <w:szCs w:val="28"/>
        </w:rPr>
        <w:t>оля закупок у субъектов малого и среднего предпринимательства в общем годовом стоимостном объеме закупок, осуществляемых отдельными видами юридических лиц, составила 56,3 %, при плановом значении – 25 %. При этом доля закупок у субъектов малого предпринимательства, социально ориентированных некоммерческих организаций, осуществляемых для обеспечения государственных и муниципальных нужд</w:t>
      </w:r>
      <w:r w:rsidR="00EB4B12" w:rsidRPr="00EF121B">
        <w:rPr>
          <w:szCs w:val="28"/>
        </w:rPr>
        <w:t>, составила 55,6 %, при плане – 31 %</w:t>
      </w:r>
      <w:r w:rsidR="00B7082A" w:rsidRPr="00EF121B">
        <w:rPr>
          <w:szCs w:val="28"/>
        </w:rPr>
        <w:t>.</w:t>
      </w:r>
      <w:r w:rsidR="00B7082A" w:rsidRPr="00D315C4">
        <w:rPr>
          <w:szCs w:val="28"/>
        </w:rPr>
        <w:t xml:space="preserve"> </w:t>
      </w:r>
    </w:p>
    <w:p w:rsidR="00B3176D" w:rsidRPr="00D315C4" w:rsidRDefault="00B3176D" w:rsidP="006111E6">
      <w:pPr>
        <w:ind w:left="0" w:right="0"/>
        <w:rPr>
          <w:szCs w:val="28"/>
        </w:rPr>
      </w:pPr>
      <w:r w:rsidRPr="00D315C4">
        <w:rPr>
          <w:szCs w:val="28"/>
        </w:rPr>
        <w:t xml:space="preserve">Работа по разъяснению преимуществ получения юридическими лицами государственных услуг в электронном виде повлияла </w:t>
      </w:r>
      <w:r w:rsidR="00AD3835">
        <w:rPr>
          <w:szCs w:val="28"/>
        </w:rPr>
        <w:br/>
      </w:r>
      <w:r w:rsidRPr="00D315C4">
        <w:rPr>
          <w:szCs w:val="28"/>
        </w:rPr>
        <w:t xml:space="preserve">на повышение доли оказанных государственных услуг по лицензированию и государственной аккредитации образовательной деятельности до 98,0 %. </w:t>
      </w:r>
    </w:p>
    <w:p w:rsidR="00EB4B12" w:rsidRDefault="00EB4B12" w:rsidP="006111E6">
      <w:pPr>
        <w:spacing w:after="0"/>
        <w:ind w:left="0" w:right="0" w:firstLine="709"/>
        <w:rPr>
          <w:color w:val="000000" w:themeColor="text1"/>
          <w:szCs w:val="28"/>
        </w:rPr>
      </w:pPr>
      <w:r w:rsidRPr="00EF121B">
        <w:rPr>
          <w:color w:val="000000" w:themeColor="text1"/>
          <w:szCs w:val="28"/>
        </w:rPr>
        <w:t xml:space="preserve">Снизилось участие государства на товарных рынках автономного округа благодаря реализации плана мероприятий автономного округа по реформированию государственных и муниципальных унитарных предприятий. В 2024 году количество государственных и муниципальных </w:t>
      </w:r>
      <w:r w:rsidR="00121C44" w:rsidRPr="00EF121B">
        <w:rPr>
          <w:color w:val="000000" w:themeColor="text1"/>
          <w:szCs w:val="28"/>
        </w:rPr>
        <w:t>унитарных предприятий сократилось до 50 (в 2019 – 105). При этом подлежат сохранению 43 предприятия в связи с осуществлением деятельности в сфере естественных монополий и обеспечением жизнедеятельности в районах Крайнего Севера и приравненных к ним местностях.</w:t>
      </w:r>
    </w:p>
    <w:p w:rsidR="00121C44" w:rsidRDefault="00121C44" w:rsidP="00121C44">
      <w:pPr>
        <w:spacing w:after="0"/>
        <w:ind w:firstLine="709"/>
        <w:rPr>
          <w:color w:val="000000" w:themeColor="text1"/>
          <w:szCs w:val="28"/>
        </w:rPr>
      </w:pPr>
      <w:bookmarkStart w:id="0" w:name="_GoBack"/>
      <w:bookmarkEnd w:id="0"/>
    </w:p>
    <w:p w:rsidR="00B3176D" w:rsidRPr="003954FB" w:rsidRDefault="00B3176D" w:rsidP="00B3176D">
      <w:pPr>
        <w:spacing w:after="0"/>
        <w:ind w:firstLine="709"/>
        <w:jc w:val="center"/>
        <w:rPr>
          <w:color w:val="000000" w:themeColor="text1"/>
          <w:szCs w:val="28"/>
        </w:rPr>
      </w:pPr>
      <w:r w:rsidRPr="003954FB">
        <w:rPr>
          <w:color w:val="000000" w:themeColor="text1"/>
          <w:szCs w:val="28"/>
        </w:rPr>
        <w:t>Показатели социально-экономического развития в автономном округе в период с 2022 года по 2024 год</w:t>
      </w:r>
    </w:p>
    <w:p w:rsidR="00B3176D" w:rsidRPr="003954FB" w:rsidRDefault="00B3176D" w:rsidP="00211574">
      <w:pPr>
        <w:spacing w:after="0"/>
        <w:ind w:left="0" w:firstLine="684"/>
        <w:rPr>
          <w:color w:val="000000" w:themeColor="text1"/>
          <w:szCs w:val="28"/>
        </w:rPr>
      </w:pPr>
    </w:p>
    <w:tbl>
      <w:tblPr>
        <w:tblStyle w:val="a3"/>
        <w:tblW w:w="907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5"/>
        <w:gridCol w:w="992"/>
        <w:gridCol w:w="992"/>
        <w:gridCol w:w="1002"/>
        <w:gridCol w:w="1701"/>
      </w:tblGrid>
      <w:tr w:rsidR="00B3176D" w:rsidRPr="003954FB" w:rsidTr="006111E6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B3176D" w:rsidP="00B31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B3176D" w:rsidP="00B31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954FB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B3176D" w:rsidP="00B31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954FB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B3176D" w:rsidP="002115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954FB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B3176D" w:rsidP="00B31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954FB">
              <w:rPr>
                <w:color w:val="000000" w:themeColor="text1"/>
                <w:sz w:val="24"/>
                <w:szCs w:val="24"/>
              </w:rPr>
              <w:t>Российская</w:t>
            </w:r>
          </w:p>
          <w:p w:rsidR="00B3176D" w:rsidRPr="003954FB" w:rsidRDefault="00B3176D" w:rsidP="00B31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954FB">
              <w:rPr>
                <w:color w:val="000000" w:themeColor="text1"/>
                <w:sz w:val="24"/>
                <w:szCs w:val="24"/>
              </w:rPr>
              <w:t>Федерация</w:t>
            </w:r>
          </w:p>
          <w:p w:rsidR="00B3176D" w:rsidRPr="003954FB" w:rsidRDefault="00B3176D" w:rsidP="00121C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954FB">
              <w:rPr>
                <w:color w:val="000000" w:themeColor="text1"/>
                <w:sz w:val="24"/>
                <w:szCs w:val="24"/>
              </w:rPr>
              <w:t>2024</w:t>
            </w:r>
            <w:r w:rsidRPr="003954FB">
              <w:rPr>
                <w:color w:val="000000" w:themeColor="text1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3176D" w:rsidRPr="003954FB" w:rsidTr="006111E6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B3176D" w:rsidP="00B31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color w:val="000000" w:themeColor="text1"/>
                <w:sz w:val="24"/>
                <w:szCs w:val="24"/>
              </w:rPr>
            </w:pPr>
            <w:r w:rsidRPr="003954FB">
              <w:rPr>
                <w:color w:val="000000" w:themeColor="text1"/>
                <w:sz w:val="24"/>
                <w:szCs w:val="24"/>
              </w:rPr>
              <w:t>Валовой региональный продукт (далее</w:t>
            </w:r>
            <w:r w:rsidR="00211574">
              <w:rPr>
                <w:color w:val="000000" w:themeColor="text1"/>
                <w:sz w:val="24"/>
                <w:szCs w:val="24"/>
              </w:rPr>
              <w:t xml:space="preserve"> –</w:t>
            </w:r>
            <w:r w:rsidRPr="003954FB">
              <w:rPr>
                <w:color w:val="000000" w:themeColor="text1"/>
                <w:sz w:val="24"/>
                <w:szCs w:val="24"/>
              </w:rPr>
              <w:t xml:space="preserve"> ВРП), млрд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B3176D" w:rsidP="00B31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954FB">
              <w:rPr>
                <w:color w:val="000000" w:themeColor="text1"/>
                <w:sz w:val="24"/>
                <w:szCs w:val="24"/>
                <w:lang w:val="en-US"/>
              </w:rPr>
              <w:t>6</w:t>
            </w:r>
            <w:r w:rsidRPr="003954FB">
              <w:rPr>
                <w:color w:val="000000" w:themeColor="text1"/>
                <w:sz w:val="24"/>
                <w:szCs w:val="24"/>
              </w:rPr>
              <w:t>894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121C44" w:rsidP="00B31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8628,9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B3176D" w:rsidP="00FB3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954FB">
              <w:rPr>
                <w:color w:val="000000" w:themeColor="text1"/>
                <w:sz w:val="24"/>
                <w:szCs w:val="24"/>
              </w:rPr>
              <w:t>9801</w:t>
            </w:r>
            <w:r w:rsidR="00121C44">
              <w:rPr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121C44" w:rsidP="00211574">
            <w:p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201152,1</w:t>
            </w:r>
          </w:p>
        </w:tc>
      </w:tr>
      <w:tr w:rsidR="00B3176D" w:rsidRPr="003954FB" w:rsidTr="006111E6">
        <w:trPr>
          <w:trHeight w:val="492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B3176D" w:rsidP="00B31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color w:val="000000" w:themeColor="text1"/>
                <w:sz w:val="24"/>
                <w:szCs w:val="24"/>
              </w:rPr>
            </w:pPr>
            <w:r w:rsidRPr="003954FB">
              <w:rPr>
                <w:color w:val="000000" w:themeColor="text1"/>
                <w:sz w:val="24"/>
                <w:szCs w:val="24"/>
              </w:rPr>
              <w:t>Индекс физического объема ВРП, в процентах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B3176D" w:rsidP="00B31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954FB">
              <w:rPr>
                <w:color w:val="000000" w:themeColor="text1"/>
                <w:sz w:val="24"/>
                <w:szCs w:val="24"/>
              </w:rPr>
              <w:t>102,6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050ED7" w:rsidP="00B31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100,1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B3176D" w:rsidP="00FB3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954FB">
              <w:rPr>
                <w:color w:val="000000" w:themeColor="text1"/>
                <w:sz w:val="24"/>
                <w:szCs w:val="24"/>
                <w:lang w:val="en-US"/>
              </w:rPr>
              <w:t>97</w:t>
            </w:r>
            <w:r w:rsidRPr="003954FB">
              <w:rPr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B3176D" w:rsidP="00211574">
            <w:p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954FB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  <w:r w:rsidR="00050ED7">
              <w:rPr>
                <w:color w:val="000000" w:themeColor="text1"/>
                <w:sz w:val="24"/>
                <w:szCs w:val="24"/>
              </w:rPr>
              <w:t>4,3</w:t>
            </w:r>
          </w:p>
        </w:tc>
      </w:tr>
      <w:tr w:rsidR="00B3176D" w:rsidRPr="003954FB" w:rsidTr="006111E6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050ED7" w:rsidP="00B31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Отгружено товаров, выполнено работ и услуг промышленного производства, млрд.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B3176D" w:rsidP="00B3176D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954FB">
              <w:rPr>
                <w:rFonts w:eastAsia="Courier New"/>
                <w:color w:val="000000" w:themeColor="text1"/>
                <w:sz w:val="24"/>
                <w:szCs w:val="24"/>
              </w:rPr>
              <w:t>7119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050ED7" w:rsidP="00B317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8955,7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050ED7" w:rsidP="00FB3539">
            <w:p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050ED7" w:rsidP="00FB3539">
            <w:p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124387,4</w:t>
            </w:r>
          </w:p>
        </w:tc>
      </w:tr>
      <w:tr w:rsidR="00B3176D" w:rsidRPr="003954FB" w:rsidTr="006111E6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B3176D" w:rsidP="00B31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color w:val="000000" w:themeColor="text1"/>
                <w:sz w:val="24"/>
                <w:szCs w:val="24"/>
              </w:rPr>
            </w:pPr>
            <w:r w:rsidRPr="003954FB">
              <w:rPr>
                <w:color w:val="000000" w:themeColor="text1"/>
                <w:sz w:val="24"/>
                <w:szCs w:val="24"/>
              </w:rPr>
              <w:t xml:space="preserve">Индекс промышленного производства, </w:t>
            </w:r>
            <w:r w:rsidRPr="003954FB">
              <w:rPr>
                <w:color w:val="000000" w:themeColor="text1"/>
                <w:sz w:val="24"/>
                <w:szCs w:val="24"/>
              </w:rPr>
              <w:br/>
              <w:t>в процентах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B3176D" w:rsidP="00B3176D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954FB">
              <w:rPr>
                <w:rFonts w:eastAsia="Courier New"/>
                <w:color w:val="000000" w:themeColor="text1"/>
                <w:sz w:val="24"/>
                <w:szCs w:val="24"/>
              </w:rPr>
              <w:t>103,1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B3176D" w:rsidP="00B3176D">
            <w:pPr>
              <w:ind w:firstLine="0"/>
              <w:jc w:val="center"/>
              <w:rPr>
                <w:sz w:val="24"/>
                <w:szCs w:val="24"/>
              </w:rPr>
            </w:pPr>
            <w:r w:rsidRPr="003954FB">
              <w:rPr>
                <w:sz w:val="24"/>
                <w:szCs w:val="24"/>
              </w:rPr>
              <w:t>98,5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050ED7" w:rsidP="00FB3539">
            <w:p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96,2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050ED7" w:rsidP="00FB3539">
            <w:p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104,6</w:t>
            </w:r>
          </w:p>
        </w:tc>
      </w:tr>
      <w:tr w:rsidR="00B3176D" w:rsidRPr="003954FB" w:rsidTr="006111E6">
        <w:trPr>
          <w:trHeight w:val="283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B3176D" w:rsidP="00B317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color w:val="000000" w:themeColor="text1"/>
                <w:sz w:val="24"/>
                <w:szCs w:val="24"/>
              </w:rPr>
            </w:pPr>
            <w:r w:rsidRPr="003954FB">
              <w:rPr>
                <w:color w:val="000000" w:themeColor="text1"/>
                <w:sz w:val="24"/>
                <w:szCs w:val="24"/>
              </w:rPr>
              <w:t>Индекс потребительских цен на конец периода (декабрь</w:t>
            </w:r>
            <w:r w:rsidRPr="003954FB">
              <w:rPr>
                <w:color w:val="000000" w:themeColor="text1"/>
                <w:sz w:val="24"/>
                <w:szCs w:val="24"/>
              </w:rPr>
              <w:br/>
              <w:t>к декабрю), в процентах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B3176D" w:rsidP="00B3176D">
            <w:pPr>
              <w:widowControl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954FB">
              <w:rPr>
                <w:rFonts w:eastAsia="Courier New"/>
                <w:color w:val="000000" w:themeColor="text1"/>
                <w:sz w:val="24"/>
                <w:szCs w:val="24"/>
              </w:rPr>
              <w:t>107,1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B3176D" w:rsidP="00B3176D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954FB">
              <w:rPr>
                <w:color w:val="000000" w:themeColor="text1"/>
                <w:sz w:val="24"/>
                <w:szCs w:val="24"/>
              </w:rPr>
              <w:t>104,6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050ED7" w:rsidP="00FB3539">
            <w:p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107,9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B3176D" w:rsidP="00FB35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3176D" w:rsidRPr="003954FB" w:rsidRDefault="00050ED7" w:rsidP="00FB3539">
            <w:p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109,5</w:t>
            </w:r>
          </w:p>
          <w:p w:rsidR="00B3176D" w:rsidRPr="003954FB" w:rsidRDefault="00B3176D" w:rsidP="00FB35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3176D" w:rsidRPr="003954FB" w:rsidTr="006111E6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B3176D" w:rsidP="00FB3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color w:val="000000" w:themeColor="text1"/>
                <w:sz w:val="24"/>
                <w:szCs w:val="24"/>
              </w:rPr>
            </w:pPr>
            <w:r w:rsidRPr="003954FB">
              <w:rPr>
                <w:color w:val="000000" w:themeColor="text1"/>
                <w:sz w:val="24"/>
                <w:szCs w:val="24"/>
              </w:rPr>
              <w:t>Поступление налогов и сборов и иных обязательных платежей в консолидированный бюджет РФ, млрд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B3176D" w:rsidP="00FB3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954FB">
              <w:rPr>
                <w:color w:val="000000" w:themeColor="text1"/>
                <w:sz w:val="24"/>
                <w:szCs w:val="24"/>
              </w:rPr>
              <w:t>4628,3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B3176D" w:rsidP="00FB3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954FB">
              <w:rPr>
                <w:color w:val="000000" w:themeColor="text1"/>
                <w:sz w:val="24"/>
                <w:szCs w:val="24"/>
              </w:rPr>
              <w:t>3904,8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B3176D" w:rsidP="002115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954FB">
              <w:rPr>
                <w:color w:val="000000" w:themeColor="text1"/>
                <w:sz w:val="24"/>
                <w:szCs w:val="24"/>
              </w:rPr>
              <w:t>5 093,2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050ED7" w:rsidP="00050E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43264,5</w:t>
            </w:r>
          </w:p>
        </w:tc>
      </w:tr>
      <w:tr w:rsidR="00B3176D" w:rsidRPr="003954FB" w:rsidTr="006111E6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F27FB9" w:rsidRDefault="00B3176D" w:rsidP="00FB3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color w:val="000000" w:themeColor="text1"/>
                <w:sz w:val="24"/>
                <w:szCs w:val="24"/>
              </w:rPr>
            </w:pPr>
            <w:r w:rsidRPr="00F27FB9">
              <w:rPr>
                <w:color w:val="000000" w:themeColor="text1"/>
                <w:sz w:val="24"/>
                <w:szCs w:val="24"/>
              </w:rPr>
              <w:t>Доля в консолидированном бюджете РФ, в процентах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F27FB9" w:rsidRDefault="00B3176D" w:rsidP="00FB3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27FB9">
              <w:rPr>
                <w:color w:val="000000" w:themeColor="text1"/>
                <w:sz w:val="24"/>
                <w:szCs w:val="24"/>
              </w:rPr>
              <w:t>13,8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F27FB9" w:rsidRDefault="00B3176D" w:rsidP="00FB3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27FB9">
              <w:rPr>
                <w:color w:val="000000" w:themeColor="text1"/>
                <w:sz w:val="24"/>
                <w:szCs w:val="24"/>
              </w:rPr>
              <w:t xml:space="preserve">10,8 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F27FB9" w:rsidRDefault="00B3176D" w:rsidP="00FB3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27FB9">
              <w:rPr>
                <w:color w:val="000000" w:themeColor="text1"/>
                <w:sz w:val="24"/>
                <w:szCs w:val="24"/>
              </w:rPr>
              <w:t>12,4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B3176D" w:rsidP="002115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27FB9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B3176D" w:rsidRPr="003954FB" w:rsidTr="006111E6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B3176D" w:rsidP="00FB3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color w:val="000000" w:themeColor="text1"/>
                <w:sz w:val="24"/>
                <w:szCs w:val="24"/>
              </w:rPr>
            </w:pPr>
            <w:r w:rsidRPr="003954FB">
              <w:rPr>
                <w:color w:val="000000" w:themeColor="text1"/>
                <w:sz w:val="24"/>
                <w:szCs w:val="24"/>
              </w:rPr>
              <w:t>Уровень зарегистрированной безработицы (на конец года), в процентах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B3176D" w:rsidP="00FB3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954FB">
              <w:rPr>
                <w:color w:val="000000" w:themeColor="text1"/>
                <w:sz w:val="24"/>
                <w:szCs w:val="24"/>
              </w:rPr>
              <w:t>0,38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B3176D" w:rsidP="00FB3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954FB">
              <w:rPr>
                <w:color w:val="000000" w:themeColor="text1"/>
                <w:sz w:val="24"/>
                <w:szCs w:val="24"/>
              </w:rPr>
              <w:t>0,31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050ED7" w:rsidP="00FB35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6D" w:rsidRPr="003954FB" w:rsidRDefault="00050ED7" w:rsidP="00050E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0,4</w:t>
            </w:r>
          </w:p>
        </w:tc>
      </w:tr>
    </w:tbl>
    <w:p w:rsidR="006111E6" w:rsidRDefault="00FB3539" w:rsidP="006111E6">
      <w:pPr>
        <w:spacing w:after="0"/>
        <w:ind w:left="0" w:right="0" w:firstLine="708"/>
        <w:rPr>
          <w:color w:val="000000" w:themeColor="text1"/>
          <w:szCs w:val="28"/>
        </w:rPr>
      </w:pPr>
      <w:r w:rsidRPr="003954FB">
        <w:rPr>
          <w:szCs w:val="28"/>
        </w:rPr>
        <w:t>В соответствии с Планом мероприятий по реализации в 2024 году основных направлений инвестиционной политики автономного округа (инвестиционного послания)</w:t>
      </w:r>
      <w:r w:rsidR="006E693F">
        <w:rPr>
          <w:rStyle w:val="a6"/>
          <w:szCs w:val="28"/>
        </w:rPr>
        <w:footnoteReference w:id="2"/>
      </w:r>
      <w:r w:rsidR="006E693F" w:rsidRPr="003954FB">
        <w:rPr>
          <w:szCs w:val="28"/>
        </w:rPr>
        <w:t xml:space="preserve"> </w:t>
      </w:r>
      <w:r w:rsidRPr="003954FB">
        <w:rPr>
          <w:szCs w:val="28"/>
        </w:rPr>
        <w:t xml:space="preserve">реализованы 17 мероприятий, в том числе: </w:t>
      </w:r>
      <w:r w:rsidR="00AD3835">
        <w:rPr>
          <w:szCs w:val="28"/>
        </w:rPr>
        <w:br/>
      </w:r>
      <w:r w:rsidRPr="003954FB">
        <w:rPr>
          <w:color w:val="000000" w:themeColor="text1"/>
          <w:szCs w:val="28"/>
        </w:rPr>
        <w:t>в 22 муниципальных образованиях автономного округа</w:t>
      </w:r>
      <w:r w:rsidR="00153B0A">
        <w:rPr>
          <w:color w:val="000000" w:themeColor="text1"/>
          <w:szCs w:val="28"/>
        </w:rPr>
        <w:t>,</w:t>
      </w:r>
      <w:r w:rsidRPr="003954FB">
        <w:rPr>
          <w:color w:val="000000" w:themeColor="text1"/>
          <w:szCs w:val="28"/>
        </w:rPr>
        <w:t xml:space="preserve"> внедрен Перечень минимальных требований к муниципальным образованиям автономного округа, при соответствии которым будет возможна полноценная реализация «Региональ</w:t>
      </w:r>
      <w:r w:rsidR="006111E6">
        <w:rPr>
          <w:color w:val="000000" w:themeColor="text1"/>
          <w:szCs w:val="28"/>
        </w:rPr>
        <w:t>ного инвестиционного стандарта».</w:t>
      </w:r>
    </w:p>
    <w:p w:rsidR="00FB3539" w:rsidRPr="003954FB" w:rsidRDefault="006111E6" w:rsidP="006111E6">
      <w:pPr>
        <w:spacing w:after="0"/>
        <w:ind w:left="0" w:right="0"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</w:t>
      </w:r>
      <w:r w:rsidR="00FB3539" w:rsidRPr="003954FB">
        <w:rPr>
          <w:color w:val="000000" w:themeColor="text1"/>
          <w:szCs w:val="28"/>
        </w:rPr>
        <w:t>а площадке Югорского экономического форума 18.11.2024 между ООО «ЮЛХ-Мебель», Департаментом экономического развития автономного округа и АО «УК «Промышленные парки Югры» подписано первое соглашение об осуществлении деятельности на территории особой экономической зоны в городе Нягань. Стоимость проекта составляет 5,4 млрд рублей.</w:t>
      </w:r>
    </w:p>
    <w:p w:rsidR="00FB3539" w:rsidRPr="003954FB" w:rsidRDefault="00FB3539" w:rsidP="006111E6">
      <w:pPr>
        <w:spacing w:after="0"/>
        <w:ind w:left="0" w:right="0" w:firstLine="708"/>
        <w:rPr>
          <w:color w:val="000000" w:themeColor="text1"/>
          <w:szCs w:val="28"/>
        </w:rPr>
      </w:pPr>
      <w:r w:rsidRPr="003954FB">
        <w:rPr>
          <w:color w:val="000000" w:themeColor="text1"/>
          <w:szCs w:val="28"/>
        </w:rPr>
        <w:t>Также в соответствии с механизмом венчурного финансирования инвестиционных проектов поддер</w:t>
      </w:r>
      <w:r w:rsidR="006111E6">
        <w:rPr>
          <w:color w:val="000000" w:themeColor="text1"/>
          <w:szCs w:val="28"/>
        </w:rPr>
        <w:t>жаны 3 технологические компании.</w:t>
      </w:r>
    </w:p>
    <w:p w:rsidR="00FB3539" w:rsidRPr="003954FB" w:rsidRDefault="00FB3539" w:rsidP="006111E6">
      <w:pPr>
        <w:spacing w:after="0"/>
        <w:ind w:left="0" w:right="0" w:firstLine="708"/>
        <w:rPr>
          <w:color w:val="000000" w:themeColor="text1"/>
          <w:szCs w:val="28"/>
        </w:rPr>
      </w:pPr>
      <w:r w:rsidRPr="003954FB">
        <w:rPr>
          <w:color w:val="000000" w:themeColor="text1"/>
          <w:szCs w:val="28"/>
        </w:rPr>
        <w:t>Также в 2024 году:</w:t>
      </w:r>
    </w:p>
    <w:p w:rsidR="00F4191D" w:rsidRDefault="00FB3539" w:rsidP="006111E6">
      <w:pPr>
        <w:spacing w:after="0"/>
        <w:ind w:left="0" w:right="0" w:firstLine="708"/>
        <w:rPr>
          <w:color w:val="000000" w:themeColor="text1"/>
          <w:szCs w:val="28"/>
        </w:rPr>
      </w:pPr>
      <w:r w:rsidRPr="003954FB">
        <w:rPr>
          <w:color w:val="000000" w:themeColor="text1"/>
          <w:szCs w:val="28"/>
        </w:rPr>
        <w:t>реализуется механизм к</w:t>
      </w:r>
      <w:r w:rsidR="00AD3835">
        <w:rPr>
          <w:color w:val="000000" w:themeColor="text1"/>
          <w:szCs w:val="28"/>
        </w:rPr>
        <w:t xml:space="preserve">омплексного развития территорий </w:t>
      </w:r>
      <w:r w:rsidR="00AD3835">
        <w:rPr>
          <w:color w:val="000000" w:themeColor="text1"/>
          <w:szCs w:val="28"/>
        </w:rPr>
        <w:br/>
      </w:r>
      <w:r w:rsidRPr="003954FB">
        <w:rPr>
          <w:color w:val="000000" w:themeColor="text1"/>
          <w:szCs w:val="28"/>
        </w:rPr>
        <w:t xml:space="preserve">(в автономном округе определены 37 территорий под комплексное развитие общей площадью </w:t>
      </w:r>
      <w:r w:rsidR="00AD3835">
        <w:rPr>
          <w:color w:val="000000" w:themeColor="text1"/>
          <w:szCs w:val="28"/>
        </w:rPr>
        <w:t>земельных участков</w:t>
      </w:r>
      <w:r w:rsidR="00F4191D">
        <w:rPr>
          <w:color w:val="000000" w:themeColor="text1"/>
          <w:szCs w:val="28"/>
        </w:rPr>
        <w:t>);</w:t>
      </w:r>
    </w:p>
    <w:p w:rsidR="00FB3539" w:rsidRPr="003954FB" w:rsidRDefault="00FB3539" w:rsidP="006111E6">
      <w:pPr>
        <w:spacing w:after="0"/>
        <w:ind w:left="0" w:right="0" w:firstLine="708"/>
        <w:rPr>
          <w:color w:val="000000" w:themeColor="text1"/>
          <w:szCs w:val="28"/>
        </w:rPr>
      </w:pPr>
      <w:r w:rsidRPr="003954FB">
        <w:rPr>
          <w:color w:val="000000" w:themeColor="text1"/>
          <w:szCs w:val="28"/>
        </w:rPr>
        <w:t xml:space="preserve">реализуется </w:t>
      </w:r>
      <w:r w:rsidR="00D21E12">
        <w:rPr>
          <w:color w:val="000000" w:themeColor="text1"/>
          <w:szCs w:val="28"/>
        </w:rPr>
        <w:t>48 концессионных соглашений: 21</w:t>
      </w:r>
      <w:r w:rsidRPr="003954FB">
        <w:rPr>
          <w:color w:val="000000" w:themeColor="text1"/>
          <w:szCs w:val="28"/>
        </w:rPr>
        <w:t xml:space="preserve"> – в сфере жилищно-коммунального хозяйства и городской сре</w:t>
      </w:r>
      <w:r w:rsidR="00D21E12">
        <w:rPr>
          <w:color w:val="000000" w:themeColor="text1"/>
          <w:szCs w:val="28"/>
        </w:rPr>
        <w:t xml:space="preserve">ды, 12 – в сфере образования, </w:t>
      </w:r>
      <w:r w:rsidR="00AD3835">
        <w:rPr>
          <w:color w:val="000000" w:themeColor="text1"/>
          <w:szCs w:val="28"/>
        </w:rPr>
        <w:br/>
      </w:r>
      <w:r w:rsidR="00D21E12">
        <w:rPr>
          <w:color w:val="000000" w:themeColor="text1"/>
          <w:szCs w:val="28"/>
        </w:rPr>
        <w:t xml:space="preserve">7 – </w:t>
      </w:r>
      <w:r w:rsidRPr="003954FB">
        <w:rPr>
          <w:color w:val="000000" w:themeColor="text1"/>
          <w:szCs w:val="28"/>
        </w:rPr>
        <w:t xml:space="preserve">в сфере физической культуры и спорта, 7 – в сфере экологии, 1 – в сфере транспортной инфраструктуры. Общий объем инвестиций </w:t>
      </w:r>
      <w:r w:rsidR="00AD3835">
        <w:rPr>
          <w:color w:val="000000" w:themeColor="text1"/>
          <w:szCs w:val="28"/>
        </w:rPr>
        <w:br/>
      </w:r>
      <w:r w:rsidRPr="003954FB">
        <w:rPr>
          <w:color w:val="000000" w:themeColor="text1"/>
          <w:szCs w:val="28"/>
        </w:rPr>
        <w:t>по вышеук</w:t>
      </w:r>
      <w:r w:rsidR="00D21E12">
        <w:rPr>
          <w:color w:val="000000" w:themeColor="text1"/>
          <w:szCs w:val="28"/>
        </w:rPr>
        <w:t xml:space="preserve">азанным проектам превышает 56,3 </w:t>
      </w:r>
      <w:r w:rsidRPr="003954FB">
        <w:rPr>
          <w:color w:val="000000" w:themeColor="text1"/>
          <w:szCs w:val="28"/>
        </w:rPr>
        <w:t>млрд рублей;</w:t>
      </w:r>
    </w:p>
    <w:p w:rsidR="00FB3539" w:rsidRPr="003954FB" w:rsidRDefault="00FB3539" w:rsidP="006111E6">
      <w:pPr>
        <w:spacing w:after="0"/>
        <w:ind w:left="0" w:right="0" w:firstLine="708"/>
        <w:rPr>
          <w:color w:val="000000" w:themeColor="text1"/>
          <w:szCs w:val="28"/>
        </w:rPr>
      </w:pPr>
      <w:r w:rsidRPr="003954FB">
        <w:rPr>
          <w:color w:val="000000" w:themeColor="text1"/>
          <w:szCs w:val="28"/>
        </w:rPr>
        <w:lastRenderedPageBreak/>
        <w:t>предоставлены земельные участки в аренду без проведения торгов для реализации масштабных инвестиционных проектов в автономном округе: «Развитие жилищной и социальной инфраструктуры Научно-технологического ц</w:t>
      </w:r>
      <w:r w:rsidR="00E41545">
        <w:rPr>
          <w:color w:val="000000" w:themeColor="text1"/>
          <w:szCs w:val="28"/>
        </w:rPr>
        <w:t>ентра в г. Сургут</w:t>
      </w:r>
      <w:r w:rsidRPr="003954FB">
        <w:rPr>
          <w:color w:val="000000" w:themeColor="text1"/>
          <w:szCs w:val="28"/>
        </w:rPr>
        <w:t>» (ООО «Самолет-Регионы</w:t>
      </w:r>
      <w:r w:rsidR="006111E6">
        <w:rPr>
          <w:color w:val="000000" w:themeColor="text1"/>
          <w:szCs w:val="28"/>
        </w:rPr>
        <w:t>»)</w:t>
      </w:r>
      <w:r w:rsidRPr="003954FB">
        <w:rPr>
          <w:color w:val="000000" w:themeColor="text1"/>
          <w:szCs w:val="28"/>
        </w:rPr>
        <w:t>, «Племенной репродуктор II порядка в Нефтеюганском районе Ханты-Мансийского автономного ок</w:t>
      </w:r>
      <w:r w:rsidR="006111E6">
        <w:rPr>
          <w:color w:val="000000" w:themeColor="text1"/>
          <w:szCs w:val="28"/>
        </w:rPr>
        <w:t>руга – Югры» (ООО «Агропродукт»</w:t>
      </w:r>
      <w:r w:rsidRPr="003954FB">
        <w:rPr>
          <w:color w:val="000000" w:themeColor="text1"/>
          <w:szCs w:val="28"/>
        </w:rPr>
        <w:t>);</w:t>
      </w:r>
    </w:p>
    <w:p w:rsidR="00FB3539" w:rsidRDefault="00FB3539" w:rsidP="006111E6">
      <w:pPr>
        <w:spacing w:after="0"/>
        <w:ind w:left="0" w:right="0" w:firstLine="708"/>
        <w:rPr>
          <w:color w:val="000000" w:themeColor="text1"/>
          <w:szCs w:val="28"/>
        </w:rPr>
      </w:pPr>
      <w:r w:rsidRPr="003954FB">
        <w:rPr>
          <w:color w:val="000000" w:themeColor="text1"/>
          <w:szCs w:val="28"/>
        </w:rPr>
        <w:t>заключены соглашения о реализации инвестиционных проектов: «Создание производственного комплекса по выпуску фасонного проката мощностью 100 тыс. тонн в год» (ООО «Сургут</w:t>
      </w:r>
      <w:r w:rsidR="006111E6">
        <w:rPr>
          <w:color w:val="000000" w:themeColor="text1"/>
          <w:szCs w:val="28"/>
        </w:rPr>
        <w:t>ский металлургический комплекс»</w:t>
      </w:r>
      <w:r w:rsidRPr="003954FB">
        <w:rPr>
          <w:color w:val="000000" w:themeColor="text1"/>
          <w:szCs w:val="28"/>
        </w:rPr>
        <w:t>), «Производство дизельного топлива путем переработки вторич</w:t>
      </w:r>
      <w:r w:rsidR="006111E6">
        <w:rPr>
          <w:color w:val="000000" w:themeColor="text1"/>
          <w:szCs w:val="28"/>
        </w:rPr>
        <w:t>ного сырья» (ООО «КомТрансАвто»).</w:t>
      </w:r>
    </w:p>
    <w:p w:rsidR="00F06D72" w:rsidRDefault="00F06D72" w:rsidP="006111E6">
      <w:pPr>
        <w:spacing w:after="0"/>
        <w:ind w:left="0" w:right="0"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Кроме того, </w:t>
      </w:r>
      <w:r w:rsidR="00F4191D">
        <w:rPr>
          <w:color w:val="000000" w:themeColor="text1"/>
          <w:szCs w:val="28"/>
        </w:rPr>
        <w:t xml:space="preserve">в 2024 году </w:t>
      </w:r>
      <w:r>
        <w:rPr>
          <w:color w:val="000000" w:themeColor="text1"/>
          <w:szCs w:val="28"/>
        </w:rPr>
        <w:t>муниципальные образования Белоярский муниципальный район и Березовский муниципальный район автономного округа включены в состав сухопутных территорий Арктической зоны Российской Федерации.</w:t>
      </w:r>
    </w:p>
    <w:p w:rsidR="0085222E" w:rsidRDefault="00DC5C6C" w:rsidP="006111E6">
      <w:pPr>
        <w:spacing w:after="0"/>
        <w:ind w:left="0" w:right="0"/>
        <w:rPr>
          <w:szCs w:val="28"/>
        </w:rPr>
      </w:pPr>
      <w:r w:rsidRPr="003954FB">
        <w:rPr>
          <w:szCs w:val="28"/>
        </w:rPr>
        <w:t xml:space="preserve">В </w:t>
      </w:r>
      <w:r w:rsidRPr="002F39FA">
        <w:rPr>
          <w:color w:val="auto"/>
          <w:szCs w:val="28"/>
        </w:rPr>
        <w:t>рейтинге субъекто</w:t>
      </w:r>
      <w:hyperlink r:id="rId7">
        <w:r w:rsidRPr="002F39FA">
          <w:rPr>
            <w:color w:val="auto"/>
            <w:szCs w:val="28"/>
          </w:rPr>
          <w:t>в</w:t>
        </w:r>
      </w:hyperlink>
      <w:r w:rsidRPr="003954FB">
        <w:rPr>
          <w:szCs w:val="28"/>
          <w:vertAlign w:val="superscript"/>
        </w:rPr>
        <w:footnoteReference w:id="3"/>
      </w:r>
      <w:r w:rsidRPr="003954FB">
        <w:rPr>
          <w:szCs w:val="28"/>
          <w:vertAlign w:val="superscript"/>
        </w:rPr>
        <w:t xml:space="preserve"> </w:t>
      </w:r>
      <w:r w:rsidRPr="003954FB">
        <w:rPr>
          <w:szCs w:val="28"/>
        </w:rPr>
        <w:t>Российской Федерации по уровню развития государственно-частного партн</w:t>
      </w:r>
      <w:r w:rsidR="00FB3539" w:rsidRPr="003954FB">
        <w:rPr>
          <w:szCs w:val="28"/>
        </w:rPr>
        <w:t>ерства автономный округ занял 17</w:t>
      </w:r>
      <w:r w:rsidRPr="003954FB">
        <w:rPr>
          <w:szCs w:val="28"/>
        </w:rPr>
        <w:t>-ю позицию</w:t>
      </w:r>
      <w:r w:rsidR="000A0BF3">
        <w:rPr>
          <w:szCs w:val="28"/>
        </w:rPr>
        <w:t xml:space="preserve"> (в 2023 году – 26-я позиция</w:t>
      </w:r>
      <w:r w:rsidR="000A0BF3">
        <w:rPr>
          <w:rStyle w:val="a6"/>
          <w:szCs w:val="28"/>
        </w:rPr>
        <w:footnoteReference w:id="4"/>
      </w:r>
      <w:r w:rsidR="000A0BF3">
        <w:rPr>
          <w:szCs w:val="28"/>
        </w:rPr>
        <w:t>)</w:t>
      </w:r>
      <w:r w:rsidRPr="003954FB">
        <w:rPr>
          <w:szCs w:val="28"/>
        </w:rPr>
        <w:t>, обеспечив высокий уровень развития правовой основы, механизмов стимулирования проектов, реализуемых на основе концессионных соглашений.</w:t>
      </w:r>
    </w:p>
    <w:p w:rsidR="0023661E" w:rsidRPr="003954FB" w:rsidRDefault="0023661E" w:rsidP="006111E6">
      <w:pPr>
        <w:spacing w:after="0"/>
        <w:ind w:left="0" w:right="0"/>
        <w:rPr>
          <w:szCs w:val="28"/>
        </w:rPr>
      </w:pPr>
      <w:r>
        <w:rPr>
          <w:szCs w:val="28"/>
        </w:rPr>
        <w:t>По состоянию на 1 января 2025 года численность занятых в сфере малого и среднего предпринимательства, включая индивидуальных предпринимателей и самозанятых, составила 269</w:t>
      </w:r>
      <w:r w:rsidR="00ED72EB">
        <w:rPr>
          <w:szCs w:val="28"/>
        </w:rPr>
        <w:t xml:space="preserve"> </w:t>
      </w:r>
      <w:r>
        <w:rPr>
          <w:szCs w:val="28"/>
        </w:rPr>
        <w:t>249 человек.</w:t>
      </w:r>
    </w:p>
    <w:p w:rsidR="00326DF0" w:rsidRPr="003954FB" w:rsidRDefault="00ED72EB" w:rsidP="006111E6">
      <w:pPr>
        <w:widowControl w:val="0"/>
        <w:spacing w:after="0"/>
        <w:ind w:left="0" w:right="0" w:firstLine="709"/>
        <w:rPr>
          <w:color w:val="000000" w:themeColor="text1"/>
          <w:szCs w:val="28"/>
        </w:rPr>
      </w:pPr>
      <w:r w:rsidRPr="00EF121B">
        <w:rPr>
          <w:color w:val="000000" w:themeColor="text1"/>
          <w:szCs w:val="28"/>
        </w:rPr>
        <w:t>Зарегистрированы 102 904 налогоплательщика специального налогового режима «Н</w:t>
      </w:r>
      <w:r w:rsidR="00326DF0" w:rsidRPr="00EF121B">
        <w:rPr>
          <w:color w:val="000000" w:themeColor="text1"/>
          <w:szCs w:val="28"/>
        </w:rPr>
        <w:t>алог на профессиональный доход</w:t>
      </w:r>
      <w:r w:rsidRPr="00EF121B">
        <w:rPr>
          <w:color w:val="000000" w:themeColor="text1"/>
          <w:szCs w:val="28"/>
        </w:rPr>
        <w:t>»</w:t>
      </w:r>
      <w:r w:rsidR="00F4191D">
        <w:rPr>
          <w:color w:val="000000" w:themeColor="text1"/>
          <w:szCs w:val="28"/>
        </w:rPr>
        <w:t>.</w:t>
      </w:r>
    </w:p>
    <w:p w:rsidR="006111E6" w:rsidRDefault="00DC5C6C" w:rsidP="006111E6">
      <w:pPr>
        <w:spacing w:after="0"/>
        <w:ind w:left="0" w:right="0"/>
        <w:rPr>
          <w:szCs w:val="28"/>
        </w:rPr>
      </w:pPr>
      <w:r w:rsidRPr="003954FB">
        <w:rPr>
          <w:szCs w:val="28"/>
        </w:rPr>
        <w:t xml:space="preserve">В автономном округе </w:t>
      </w:r>
      <w:r w:rsidR="001D26A5" w:rsidRPr="003954FB">
        <w:rPr>
          <w:szCs w:val="28"/>
        </w:rPr>
        <w:t>осуществляют деятельность более 76 тысяч</w:t>
      </w:r>
      <w:r w:rsidR="001D26A5" w:rsidRPr="003954FB">
        <w:rPr>
          <w:rStyle w:val="a6"/>
          <w:szCs w:val="28"/>
        </w:rPr>
        <w:footnoteReference w:id="5"/>
      </w:r>
      <w:r w:rsidR="001D26A5" w:rsidRPr="003954FB">
        <w:rPr>
          <w:szCs w:val="28"/>
        </w:rPr>
        <w:t xml:space="preserve"> (76 551) хозяйствующих субъектов, в том числе 26 739 предприятий </w:t>
      </w:r>
      <w:r w:rsidR="00AD3835">
        <w:rPr>
          <w:szCs w:val="28"/>
        </w:rPr>
        <w:br/>
      </w:r>
      <w:r w:rsidR="001D26A5" w:rsidRPr="003954FB">
        <w:rPr>
          <w:szCs w:val="28"/>
        </w:rPr>
        <w:t>и организаций ра</w:t>
      </w:r>
      <w:r w:rsidR="00E41545">
        <w:rPr>
          <w:szCs w:val="28"/>
        </w:rPr>
        <w:t xml:space="preserve">зличных форм собственности и 49 </w:t>
      </w:r>
      <w:r w:rsidR="001D26A5" w:rsidRPr="003954FB">
        <w:rPr>
          <w:szCs w:val="28"/>
        </w:rPr>
        <w:t xml:space="preserve">812 индивидуальных предпринимателей и крестьянских (фермерских) хозяйств. Прирост количества хозяйствующих субъектов в Югре в 2024 году по отношению </w:t>
      </w:r>
      <w:r w:rsidR="00AD3835">
        <w:rPr>
          <w:szCs w:val="28"/>
        </w:rPr>
        <w:br/>
      </w:r>
      <w:r w:rsidR="001D26A5" w:rsidRPr="003954FB">
        <w:rPr>
          <w:szCs w:val="28"/>
        </w:rPr>
        <w:t xml:space="preserve">к 2023 году составил 3,1%. </w:t>
      </w:r>
    </w:p>
    <w:p w:rsidR="00095560" w:rsidRPr="003954FB" w:rsidRDefault="00095560" w:rsidP="006111E6">
      <w:pPr>
        <w:spacing w:after="0"/>
        <w:ind w:left="0" w:right="0"/>
        <w:rPr>
          <w:szCs w:val="28"/>
        </w:rPr>
      </w:pPr>
      <w:r w:rsidRPr="003954FB">
        <w:rPr>
          <w:szCs w:val="28"/>
        </w:rPr>
        <w:t xml:space="preserve">В соответствии с действующим региональным законодательством </w:t>
      </w:r>
      <w:r w:rsidR="00AD3835">
        <w:rPr>
          <w:szCs w:val="28"/>
        </w:rPr>
        <w:br/>
      </w:r>
      <w:r w:rsidRPr="003954FB">
        <w:rPr>
          <w:szCs w:val="28"/>
        </w:rPr>
        <w:t>в Югре предусмотрены различные меры государственной поддержки юридическим лицам, индивидуальным предпринимателям, физическим лицам и самозанятым гражданам, применяющим спе</w:t>
      </w:r>
      <w:r w:rsidR="00E41545">
        <w:rPr>
          <w:szCs w:val="28"/>
        </w:rPr>
        <w:t xml:space="preserve">циальный налоговый режим «Налог на профессиональный </w:t>
      </w:r>
      <w:r w:rsidRPr="003954FB">
        <w:rPr>
          <w:szCs w:val="28"/>
        </w:rPr>
        <w:t xml:space="preserve">доход», в том числе предоставляемые организациями инфраструктуры автономного округа в виде субсидий, компенсаций затрат и других. </w:t>
      </w:r>
    </w:p>
    <w:p w:rsidR="0085222E" w:rsidRPr="003954FB" w:rsidRDefault="00DC5C6C" w:rsidP="006111E6">
      <w:pPr>
        <w:spacing w:after="0"/>
        <w:ind w:left="0" w:right="0"/>
        <w:rPr>
          <w:szCs w:val="28"/>
        </w:rPr>
      </w:pPr>
      <w:r w:rsidRPr="003954FB">
        <w:rPr>
          <w:szCs w:val="28"/>
        </w:rPr>
        <w:t>Уровень удовлетворенности жителей Югры качеством, уровнем цен и возможностью выбора тов</w:t>
      </w:r>
      <w:r w:rsidR="009B2A75" w:rsidRPr="003954FB">
        <w:rPr>
          <w:szCs w:val="28"/>
        </w:rPr>
        <w:t>аров, работ, услуг составляет 47,89%, при этом 22,61</w:t>
      </w:r>
      <w:r w:rsidRPr="003954FB">
        <w:rPr>
          <w:szCs w:val="28"/>
        </w:rPr>
        <w:t xml:space="preserve">% общего числа опрошенных граждан затруднилось дать оценку. </w:t>
      </w:r>
      <w:r w:rsidRPr="003954FB">
        <w:rPr>
          <w:szCs w:val="28"/>
        </w:rPr>
        <w:lastRenderedPageBreak/>
        <w:t>Темп уровня цен за последние три года, а также качество и возможность выбора товаров, работ и услуг по оценке потребителей не изменились.</w:t>
      </w:r>
    </w:p>
    <w:p w:rsidR="0085222E" w:rsidRPr="003954FB" w:rsidRDefault="00DC5C6C" w:rsidP="006111E6">
      <w:pPr>
        <w:spacing w:after="0"/>
        <w:ind w:left="0" w:right="0"/>
        <w:rPr>
          <w:szCs w:val="28"/>
        </w:rPr>
      </w:pPr>
      <w:r w:rsidRPr="003954FB">
        <w:rPr>
          <w:szCs w:val="28"/>
        </w:rPr>
        <w:t xml:space="preserve">Доля заявителей, которые полностью сумели отстоять свои права (количество разрешенных обращений за защитой прав потребителей), </w:t>
      </w:r>
      <w:r w:rsidR="00AD3835">
        <w:rPr>
          <w:szCs w:val="28"/>
        </w:rPr>
        <w:br/>
      </w:r>
      <w:r w:rsidRPr="003954FB">
        <w:rPr>
          <w:szCs w:val="28"/>
        </w:rPr>
        <w:t xml:space="preserve">в течение последних трёх лет увеличилась более чем </w:t>
      </w:r>
      <w:r w:rsidR="00937CE1" w:rsidRPr="003954FB">
        <w:rPr>
          <w:szCs w:val="28"/>
        </w:rPr>
        <w:t>на 1,8% и в 2024 году составила 6,4% (в 2022 году – 3,5</w:t>
      </w:r>
      <w:r w:rsidR="007237FA">
        <w:rPr>
          <w:szCs w:val="28"/>
        </w:rPr>
        <w:t>%</w:t>
      </w:r>
      <w:r w:rsidRPr="003954FB">
        <w:rPr>
          <w:szCs w:val="28"/>
        </w:rPr>
        <w:t>).</w:t>
      </w:r>
    </w:p>
    <w:p w:rsidR="0085222E" w:rsidRPr="003954FB" w:rsidRDefault="00DC5C6C" w:rsidP="006111E6">
      <w:pPr>
        <w:widowControl w:val="0"/>
        <w:spacing w:after="0"/>
        <w:ind w:left="0" w:right="0" w:firstLine="709"/>
        <w:rPr>
          <w:szCs w:val="28"/>
        </w:rPr>
      </w:pPr>
      <w:r w:rsidRPr="003954FB">
        <w:rPr>
          <w:szCs w:val="28"/>
        </w:rPr>
        <w:t>По итогам проведенного мониторинга население удовлетворено деятельностью в сфере финансовых услуг, осуществляемых в автономном округе, в том числе доступностью финансовых услуг, оказываемых в Югре.</w:t>
      </w:r>
    </w:p>
    <w:p w:rsidR="003954FB" w:rsidRPr="003954FB" w:rsidRDefault="00F4191D" w:rsidP="006111E6">
      <w:pPr>
        <w:widowControl w:val="0"/>
        <w:spacing w:after="0"/>
        <w:ind w:left="0" w:right="0" w:firstLine="709"/>
        <w:rPr>
          <w:szCs w:val="28"/>
        </w:rPr>
      </w:pPr>
      <w:r>
        <w:rPr>
          <w:szCs w:val="28"/>
        </w:rPr>
        <w:t>Также Департаментом пр</w:t>
      </w:r>
      <w:r w:rsidR="003954FB" w:rsidRPr="003954FB">
        <w:rPr>
          <w:szCs w:val="28"/>
        </w:rPr>
        <w:t>оводится экспертиза проектов и анализ действующих нормативных правовых актов на предмет выявления положений, содержащих возможные риски</w:t>
      </w:r>
      <w:r w:rsidR="007237FA">
        <w:rPr>
          <w:szCs w:val="28"/>
        </w:rPr>
        <w:t>,</w:t>
      </w:r>
      <w:r w:rsidR="003954FB" w:rsidRPr="003954FB">
        <w:rPr>
          <w:szCs w:val="28"/>
        </w:rPr>
        <w:t xml:space="preserve"> нарушения антимонопольного законодательства Российской Федерации. Всего в 2024 году проведена</w:t>
      </w:r>
      <w:r w:rsidR="00E41545">
        <w:rPr>
          <w:szCs w:val="28"/>
        </w:rPr>
        <w:t xml:space="preserve"> экспертиза 1058 проектов НПА, </w:t>
      </w:r>
      <w:r w:rsidR="003954FB" w:rsidRPr="003954FB">
        <w:rPr>
          <w:szCs w:val="28"/>
        </w:rPr>
        <w:t>из них в 50 проектах НПА выявлены риски нарушения антимонопольного</w:t>
      </w:r>
      <w:r w:rsidR="007237FA">
        <w:rPr>
          <w:szCs w:val="28"/>
        </w:rPr>
        <w:t xml:space="preserve"> законодательства</w:t>
      </w:r>
      <w:r w:rsidR="003954FB" w:rsidRPr="003954FB">
        <w:rPr>
          <w:szCs w:val="28"/>
        </w:rPr>
        <w:t xml:space="preserve">. Также проведен анализ 120 действующих НПА, в 35 НПА выявлены возможные риски нарушения антимонопольного законодательства. </w:t>
      </w:r>
    </w:p>
    <w:p w:rsidR="003954FB" w:rsidRPr="003954FB" w:rsidRDefault="003954FB" w:rsidP="006111E6">
      <w:pPr>
        <w:widowControl w:val="0"/>
        <w:spacing w:after="0"/>
        <w:ind w:left="0" w:right="0" w:firstLine="709"/>
        <w:rPr>
          <w:szCs w:val="28"/>
        </w:rPr>
      </w:pPr>
      <w:r w:rsidRPr="003954FB">
        <w:rPr>
          <w:szCs w:val="28"/>
        </w:rPr>
        <w:t xml:space="preserve">Обеспечено стабильно низкое количество нарушений антимонопольного законодательства, выявляемых в деятельности исполнительных органов и органов местного самоуправления муниципальных образований автономного округа. Так, в 2024 году Управлением Федеральной антимонопольной службы по автономному округу в деятельности исполнительных органов автономного округа </w:t>
      </w:r>
      <w:r w:rsidR="00AD3835">
        <w:rPr>
          <w:szCs w:val="28"/>
        </w:rPr>
        <w:br/>
      </w:r>
      <w:r w:rsidRPr="003954FB">
        <w:rPr>
          <w:szCs w:val="28"/>
        </w:rPr>
        <w:t xml:space="preserve">и органов местного самоуправления выявлено 3 нарушения антимонопольного законодательства (окончательные сведения </w:t>
      </w:r>
      <w:r w:rsidR="00AD3835">
        <w:rPr>
          <w:szCs w:val="28"/>
        </w:rPr>
        <w:br/>
      </w:r>
      <w:r w:rsidRPr="003954FB">
        <w:rPr>
          <w:szCs w:val="28"/>
        </w:rPr>
        <w:t>об обжаловании отсутствуют).</w:t>
      </w:r>
    </w:p>
    <w:p w:rsidR="003954FB" w:rsidRPr="003954FB" w:rsidRDefault="003954FB" w:rsidP="006111E6">
      <w:pPr>
        <w:spacing w:after="0"/>
        <w:ind w:left="0" w:right="0" w:firstLine="709"/>
        <w:rPr>
          <w:szCs w:val="28"/>
        </w:rPr>
      </w:pPr>
    </w:p>
    <w:sectPr w:rsidR="003954FB" w:rsidRPr="003954FB" w:rsidSect="006111E6">
      <w:headerReference w:type="even" r:id="rId8"/>
      <w:headerReference w:type="default" r:id="rId9"/>
      <w:headerReference w:type="first" r:id="rId10"/>
      <w:pgSz w:w="11906" w:h="16838"/>
      <w:pgMar w:top="1135" w:right="1417" w:bottom="1135" w:left="155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42C" w:rsidRDefault="0033242C">
      <w:pPr>
        <w:spacing w:after="0"/>
      </w:pPr>
      <w:r>
        <w:separator/>
      </w:r>
    </w:p>
  </w:endnote>
  <w:endnote w:type="continuationSeparator" w:id="0">
    <w:p w:rsidR="0033242C" w:rsidRDefault="003324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42C" w:rsidRDefault="0033242C">
      <w:pPr>
        <w:spacing w:after="0"/>
        <w:ind w:left="0" w:right="0" w:firstLine="0"/>
        <w:jc w:val="left"/>
      </w:pPr>
      <w:r>
        <w:separator/>
      </w:r>
    </w:p>
  </w:footnote>
  <w:footnote w:type="continuationSeparator" w:id="0">
    <w:p w:rsidR="0033242C" w:rsidRDefault="0033242C">
      <w:pPr>
        <w:spacing w:after="0"/>
        <w:ind w:left="0" w:right="0" w:firstLine="0"/>
        <w:jc w:val="left"/>
      </w:pPr>
      <w:r>
        <w:continuationSeparator/>
      </w:r>
    </w:p>
  </w:footnote>
  <w:footnote w:id="1">
    <w:p w:rsidR="00B3176D" w:rsidRDefault="00B3176D" w:rsidP="00B3176D">
      <w:pPr>
        <w:pStyle w:val="a4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  <w:vertAlign w:val="superscript"/>
        </w:rPr>
        <w:footnoteRef/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 w:rsidR="00121C44">
        <w:rPr>
          <w:rFonts w:ascii="Times New Roman" w:eastAsia="Times New Roman" w:hAnsi="Times New Roman" w:cs="Times New Roman"/>
          <w:highlight w:val="white"/>
        </w:rPr>
        <w:t xml:space="preserve">Распоряжение Правительства Ханты-Мансийского автономного округа – Югры от 15.05.2025 </w:t>
      </w:r>
      <w:r w:rsidR="00121C44">
        <w:rPr>
          <w:rFonts w:ascii="Times New Roman" w:eastAsia="Times New Roman" w:hAnsi="Times New Roman" w:cs="Times New Roman"/>
          <w:highlight w:val="white"/>
        </w:rPr>
        <w:br/>
        <w:t>№ 193-рп «Об итогах социально-экономического развития Ханты-Мансийского автономного округа-Югры за 2024 год».</w:t>
      </w:r>
    </w:p>
  </w:footnote>
  <w:footnote w:id="2">
    <w:p w:rsidR="006E693F" w:rsidRDefault="006E693F" w:rsidP="006E693F">
      <w:pPr>
        <w:pStyle w:val="a4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 w:rsidRPr="006E693F">
        <w:t xml:space="preserve"> </w:t>
      </w:r>
      <w:r>
        <w:rPr>
          <w:rFonts w:ascii="Times New Roman" w:hAnsi="Times New Roman"/>
        </w:rPr>
        <w:t>Распоряжение Правительства Ханты-Мансийского автономного округа – Югры от 31.</w:t>
      </w:r>
      <w:r>
        <w:rPr>
          <w:rFonts w:ascii="Times New Roman" w:hAnsi="Times New Roman"/>
          <w:color w:val="000000" w:themeColor="text1"/>
        </w:rPr>
        <w:t xml:space="preserve">10.2023 </w:t>
      </w:r>
      <w:r>
        <w:rPr>
          <w:rFonts w:ascii="Times New Roman" w:hAnsi="Times New Roman"/>
        </w:rPr>
        <w:t>№ 708-рп «Об основных направлениях инвестиционной политики Ханты-Мансийского автономного округа – Югры на 2024 год (инвестиционном послании)».</w:t>
      </w:r>
    </w:p>
    <w:p w:rsidR="006E693F" w:rsidRPr="006E693F" w:rsidRDefault="006E693F">
      <w:pPr>
        <w:pStyle w:val="a4"/>
      </w:pPr>
    </w:p>
  </w:footnote>
  <w:footnote w:id="3">
    <w:p w:rsidR="0085222E" w:rsidRPr="00E41545" w:rsidRDefault="00DC5C6C">
      <w:pPr>
        <w:pStyle w:val="footnotedescription"/>
        <w:spacing w:line="258" w:lineRule="auto"/>
      </w:pPr>
      <w:r>
        <w:rPr>
          <w:rStyle w:val="footnotemark"/>
        </w:rPr>
        <w:footnoteRef/>
      </w:r>
      <w:r w:rsidR="00E41545" w:rsidRPr="00E41545">
        <w:t>https://www.economy.gov.ru/material/file/c35da2a561ed12ff8b27199065ea5ef3/reyting_subektov_rf_po_gchp_za_2024_god.pdf</w:t>
      </w:r>
    </w:p>
  </w:footnote>
  <w:footnote w:id="4">
    <w:p w:rsidR="000A0BF3" w:rsidRPr="000A0BF3" w:rsidRDefault="000A0BF3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0A0BF3">
        <w:rPr>
          <w:rFonts w:ascii="Times New Roman" w:hAnsi="Times New Roman" w:cs="Times New Roman"/>
          <w:sz w:val="18"/>
          <w:szCs w:val="18"/>
        </w:rPr>
        <w:t>https://www.economy.gov.ru/material/file/81ecb4b3ed1952d358c2d3396c21b9fc/reiting_gchp_2023.pdf</w:t>
      </w:r>
    </w:p>
  </w:footnote>
  <w:footnote w:id="5">
    <w:p w:rsidR="001D26A5" w:rsidRDefault="001D26A5" w:rsidP="001D26A5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По</w:t>
      </w:r>
      <w:r>
        <w:t xml:space="preserve"> </w:t>
      </w:r>
      <w:r>
        <w:rPr>
          <w:rFonts w:ascii="Times New Roman" w:hAnsi="Times New Roman" w:cs="Times New Roman"/>
          <w:sz w:val="18"/>
        </w:rPr>
        <w:t>состоянию на 01.12.2024.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2E" w:rsidRDefault="00DC5C6C">
    <w:pPr>
      <w:spacing w:after="0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2E" w:rsidRDefault="00DC5C6C">
    <w:pPr>
      <w:spacing w:after="0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11E6" w:rsidRPr="006111E6">
      <w:rPr>
        <w:noProof/>
        <w:sz w:val="22"/>
      </w:rPr>
      <w:t>4</w:t>
    </w:r>
    <w:r>
      <w:rPr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2E" w:rsidRDefault="0085222E">
    <w:pPr>
      <w:spacing w:after="0" w:line="276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2E"/>
    <w:rsid w:val="00050ED7"/>
    <w:rsid w:val="00077F35"/>
    <w:rsid w:val="00095560"/>
    <w:rsid w:val="000A0BF3"/>
    <w:rsid w:val="000C6278"/>
    <w:rsid w:val="00121C44"/>
    <w:rsid w:val="00146EAB"/>
    <w:rsid w:val="00153B0A"/>
    <w:rsid w:val="001B3B2E"/>
    <w:rsid w:val="001D26A5"/>
    <w:rsid w:val="00211574"/>
    <w:rsid w:val="0023661E"/>
    <w:rsid w:val="002F39FA"/>
    <w:rsid w:val="00326DF0"/>
    <w:rsid w:val="0033242C"/>
    <w:rsid w:val="003954FB"/>
    <w:rsid w:val="003A5F66"/>
    <w:rsid w:val="004527F4"/>
    <w:rsid w:val="004C3B43"/>
    <w:rsid w:val="005050F5"/>
    <w:rsid w:val="006111E6"/>
    <w:rsid w:val="0069567A"/>
    <w:rsid w:val="006E693F"/>
    <w:rsid w:val="007237FA"/>
    <w:rsid w:val="007C3FE7"/>
    <w:rsid w:val="00827F0D"/>
    <w:rsid w:val="0085222E"/>
    <w:rsid w:val="008707F1"/>
    <w:rsid w:val="008E7C92"/>
    <w:rsid w:val="00905AE5"/>
    <w:rsid w:val="00937CE1"/>
    <w:rsid w:val="009B2A75"/>
    <w:rsid w:val="00AD3835"/>
    <w:rsid w:val="00B3176D"/>
    <w:rsid w:val="00B7082A"/>
    <w:rsid w:val="00BB6240"/>
    <w:rsid w:val="00D21E12"/>
    <w:rsid w:val="00D315C4"/>
    <w:rsid w:val="00DC5C6C"/>
    <w:rsid w:val="00E41545"/>
    <w:rsid w:val="00E77907"/>
    <w:rsid w:val="00EB4B12"/>
    <w:rsid w:val="00ED72EB"/>
    <w:rsid w:val="00EF121B"/>
    <w:rsid w:val="00EF7D41"/>
    <w:rsid w:val="00F06D72"/>
    <w:rsid w:val="00F27FB9"/>
    <w:rsid w:val="00F4191D"/>
    <w:rsid w:val="00FB0D90"/>
    <w:rsid w:val="00FB3539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66CE"/>
  <w15:docId w15:val="{D6B01BB7-77F2-463E-A6A4-B4C7C7FE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8" w:line="240" w:lineRule="auto"/>
      <w:ind w:left="-15" w:right="-1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65" w:line="240" w:lineRule="auto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708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B317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uiPriority w:val="99"/>
    <w:unhideWhenUsed/>
    <w:qFormat/>
    <w:rsid w:val="00B3176D"/>
    <w:pPr>
      <w:spacing w:after="0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B3176D"/>
    <w:rPr>
      <w:rFonts w:eastAsiaTheme="minorHAnsi"/>
      <w:sz w:val="20"/>
      <w:szCs w:val="20"/>
      <w:lang w:eastAsia="en-US"/>
    </w:rPr>
  </w:style>
  <w:style w:type="character" w:styleId="a6">
    <w:name w:val="footnote reference"/>
    <w:uiPriority w:val="99"/>
    <w:unhideWhenUsed/>
    <w:rsid w:val="00B3176D"/>
    <w:rPr>
      <w:rFonts w:cs="Times New Roman"/>
      <w:vertAlign w:val="superscript"/>
    </w:rPr>
  </w:style>
  <w:style w:type="paragraph" w:styleId="a7">
    <w:name w:val="No Spacing"/>
    <w:basedOn w:val="a"/>
    <w:uiPriority w:val="1"/>
    <w:qFormat/>
    <w:rsid w:val="007C3FE7"/>
    <w:pPr>
      <w:spacing w:after="0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a8">
    <w:name w:val="Hyperlink"/>
    <w:basedOn w:val="a0"/>
    <w:uiPriority w:val="99"/>
    <w:unhideWhenUsed/>
    <w:rsid w:val="003954F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77F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7F35"/>
    <w:rPr>
      <w:rFonts w:ascii="Segoe UI" w:eastAsia="Times New Roman" w:hAnsi="Segoe UI" w:cs="Segoe UI"/>
      <w:color w:val="00000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6111E6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6111E6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conomy.gov.ru/material/file/a8ccd7ef26dbd590c0f5e2faaf0efbf1/reiting_gchp_2022.pdf?ysclid=loo931npgw8167568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5D46F-8A60-4604-9F5A-2B45049D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Буторина Ольга Вадимовна</dc:creator>
  <cp:keywords/>
  <cp:lastModifiedBy>Кулагина Анжелика Александровна</cp:lastModifiedBy>
  <cp:revision>2</cp:revision>
  <cp:lastPrinted>2025-06-18T05:34:00Z</cp:lastPrinted>
  <dcterms:created xsi:type="dcterms:W3CDTF">2025-06-20T09:46:00Z</dcterms:created>
  <dcterms:modified xsi:type="dcterms:W3CDTF">2025-06-20T09:46:00Z</dcterms:modified>
</cp:coreProperties>
</file>