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ХМАО - Югры от 10.11.2023 N 566-п</w:t>
              <w:br/>
              <w:t xml:space="preserve">(ред. от 26.12.2024)</w:t>
              <w:br/>
              <w:t xml:space="preserve">"О государственной программе Ханты-Мансийского автономного округа - Югры "Экологическая безопасность"</w:t>
              <w:br/>
              <w:t xml:space="preserve">(с изм. и доп., вступающими в силу с 01.01.2025)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ноября 2023 г. N 566-п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ПРОГРАММЕ ХАНТЫ-МАНСИЙСКОГО АВТОНОМНОГО</w:t>
      </w:r>
    </w:p>
    <w:p>
      <w:pPr>
        <w:pStyle w:val="2"/>
        <w:jc w:val="center"/>
      </w:pPr>
      <w:r>
        <w:rPr>
          <w:sz w:val="20"/>
        </w:rPr>
        <w:t xml:space="preserve">ОКРУГА - ЮГРЫ "ЭКОЛОГИЧЕСКАЯ БЕЗОПАСНОСТЬ"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ХМАО - Югры от 01.03.2024 </w:t>
            </w:r>
            <w:hyperlink w:history="0" r:id="rId7" w:tooltip="Постановление Правительства ХМАО - Югры от 01.03.2024 N 7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71-п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17.05.2024 </w:t>
            </w:r>
            <w:hyperlink w:history="0" r:id="rId8" w:tooltip="Постановление Правительства ХМАО - Югры от 17.05.2024 N 190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190-п</w:t>
              </w:r>
            </w:hyperlink>
            <w:r>
              <w:rPr>
                <w:sz w:val="20"/>
                <w:color w:val="392c69"/>
              </w:rPr>
              <w:t xml:space="preserve">, от 25.07.2024 </w:t>
            </w:r>
            <w:hyperlink w:history="0" r:id="rId9" w:tooltip="Постановление Правительства ХМАО - Югры от 25.07.2024 N 266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266-п</w:t>
              </w:r>
            </w:hyperlink>
            <w:r>
              <w:rPr>
                <w:sz w:val="20"/>
                <w:color w:val="392c69"/>
              </w:rPr>
              <w:t xml:space="preserve">, от 08.11.2024 </w:t>
            </w:r>
            <w:hyperlink w:history="0" r:id="rId10" w:tooltip="Постановление Правительства ХМАО - Югры от 08.11.2024 N 405-п &quot;О внесении изменений в приложение к постановлению Правительства Ханты-Мансийского автономного округа - Югры от 10 ноября 2023 года N 566-п &quot;О государственной программе Ханты-Мансийского автономного округа - Югры &quot;Экологическая безопасность&quot; {КонсультантПлюс}">
              <w:r>
                <w:rPr>
                  <w:sz w:val="20"/>
                  <w:color w:val="0000ff"/>
                </w:rPr>
                <w:t xml:space="preserve">N 405-п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19.12.2024 </w:t>
            </w:r>
            <w:hyperlink w:history="0" r:id="rId11" w:tooltip="Постановление Правительства ХМАО - Югры от 19.12.2024 N 506-п &quot;О внесении изменения в постановление Правительства Ханты-Мансийского автономного округа - Югры от 10 ноября 2023 года N 566-п &quot;О государственной программе Ханты-Мансийского автономного округа - Югры &quot;Экологическая безопасность&quot; {КонсультантПлюс}">
              <w:r>
                <w:rPr>
                  <w:sz w:val="20"/>
                  <w:color w:val="0000ff"/>
                </w:rPr>
                <w:t xml:space="preserve">N 506-п</w:t>
              </w:r>
            </w:hyperlink>
            <w:r>
              <w:rPr>
                <w:sz w:val="20"/>
                <w:color w:val="392c69"/>
              </w:rPr>
              <w:t xml:space="preserve">, от 26.12.2024 </w:t>
            </w:r>
            <w:hyperlink w:history="0" r:id="rId12" w:tooltip="Постановление Правительства ХМАО - Югры от 26.12.2024 N 542-п &quot;О внесении изменений в приложение к постановлению Правительства Ханты-Мансийского автономного округа - Югры от 10 ноября 2023 года N 566-п &quot;О государственной программе Ханты-Мансийского автономного округа - Югры &quot;Экологическая безопасность&quot; {КонсультантПлюс}">
              <w:r>
                <w:rPr>
                  <w:sz w:val="20"/>
                  <w:color w:val="0000ff"/>
                </w:rPr>
                <w:t xml:space="preserve">N 542-п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статьей 179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4" w:tooltip="Постановление Правительства ХМАО - Югры от 05.08.2021 N 289-п (ред. от 11.07.2024) &quot;О порядке разработки и реализации государственных программ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Службе по контролю и надзору в сфере охраны окружающей среды, объектов животного мира и лесных отношений Ханты-Мансийского автономного округа - Югры (протокол заседания от 5 октября 2023 года N 17), Правительство Ханты-Мансийского автономного округа - Югры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государственную </w:t>
      </w:r>
      <w:hyperlink w:history="0" w:anchor="P46" w:tooltip="ГОСУДАРСТВЕН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Ханты-Мансийского автономного округа - Югры "Экологическая безопасность" (далее - государственная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Службу по контролю и надзору в сфере охраны окружающей среды, объектов животного мира и лесных отношений Ханты-Мансийского автономного округа - Югры ответственным исполнителем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Постановления Правительства Ханты-Мансийского автономного округа - Югры: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31 октября 2021 года </w:t>
      </w:r>
      <w:hyperlink w:history="0" r:id="rId15" w:tooltip="Постановление Правительства ХМАО - Югры от 31.10.2021 N 482-п (ред. от 22.12.2023) &quot;О государственной программе Ханты-Мансийского автономного округа - Югры &quot;Экологическая безопасность&quot; ------------ Утратил силу или отменен {КонсультантПлюс}">
        <w:r>
          <w:rPr>
            <w:sz w:val="20"/>
            <w:color w:val="0000ff"/>
          </w:rPr>
          <w:t xml:space="preserve">N 482-п</w:t>
        </w:r>
      </w:hyperlink>
      <w:r>
        <w:rPr>
          <w:sz w:val="20"/>
        </w:rPr>
        <w:t xml:space="preserve"> "О государственной программе Ханты-Мансийского автономного округа - Югры "Экологическая безопасность";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16 октября 2022 года </w:t>
      </w:r>
      <w:hyperlink w:history="0" r:id="rId16" w:tooltip="Постановление Правительства ХМАО - Югры от 16.10.2022 N 532-п (ред. от 11.11.2022) &quot;О внесении изменений в постановление Правительства Ханты-Мансийского автономного округа - Югры от 31 октября 2021 года N 482-п &quot;О государственной программе Ханты-Мансийского автономного округа - Югры &quot;Экологическая безопасность&quot; ------------ Утратил силу или отменен {КонсультантПлюс}">
        <w:r>
          <w:rPr>
            <w:sz w:val="20"/>
            <w:color w:val="0000ff"/>
          </w:rPr>
          <w:t xml:space="preserve">N 532-п</w:t>
        </w:r>
      </w:hyperlink>
      <w:r>
        <w:rPr>
          <w:sz w:val="20"/>
        </w:rPr>
        <w:t xml:space="preserve"> "О внесении изменений в постановление Правительства Ханты-Мансийского автономного округа - Югры от 31 октября 2021 года N 482-п "О государственной программе Ханты-Мансийского автономного округа - Югры "Экологическая безопасность";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11 ноября 2022 года </w:t>
      </w:r>
      <w:hyperlink w:history="0" r:id="rId17" w:tooltip="Постановление Правительства ХМАО - Югры от 11.11.2022 N 594-п &quot;О внесении изменений в некоторые постановления Правительства Ханты-Мансийского автономного округа - Югры&quot; ------------ Утратил силу или отменен {КонсультантПлюс}">
        <w:r>
          <w:rPr>
            <w:sz w:val="20"/>
            <w:color w:val="0000ff"/>
          </w:rPr>
          <w:t xml:space="preserve">N 594-п</w:t>
        </w:r>
      </w:hyperlink>
      <w:r>
        <w:rPr>
          <w:sz w:val="20"/>
        </w:rPr>
        <w:t xml:space="preserve"> "О внесении изменений в некоторые постановления Правительства Ханты-Мансийского автономного округа - Югры";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29 декабря 2022 года </w:t>
      </w:r>
      <w:hyperlink w:history="0" r:id="rId18" w:tooltip="Постановление Правительства ХМАО - Югры от 29.12.2022 N 739-п &quot;О внесении изменений в приложение 1 к постановлению Правительства Ханты-Мансийского автономного округа - Югры от 31 октября 2021 года N 482-п &quot;О государственной программе Ханты-Мансийского автономного округа - Югры &quot;Экологическая безопасность&quot; ------------ Утратил силу или отменен {КонсультантПлюс}">
        <w:r>
          <w:rPr>
            <w:sz w:val="20"/>
            <w:color w:val="0000ff"/>
          </w:rPr>
          <w:t xml:space="preserve">N 739-п</w:t>
        </w:r>
      </w:hyperlink>
      <w:r>
        <w:rPr>
          <w:sz w:val="20"/>
        </w:rPr>
        <w:t xml:space="preserve"> "О внесении изменений в приложение 1 к постановлению Правительства Ханты-Мансийского автономного округа - Югры от 31 октября 2021 года N 482-п "О государственной программе Ханты-Мансийского автономного округа - Югры "Экологическая безопасность";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14 апреля 2023 года </w:t>
      </w:r>
      <w:hyperlink w:history="0" r:id="rId19" w:tooltip="Постановление Правительства ХМАО - Югры от 14.04.2023 N 147-п &quot;О внесении изменений в приложение 1 к постановлению Правительства Ханты-Мансийского автономного округа - Югры от 31 октября 2021 года N 482-п &quot;О государственной программе Ханты-Мансийского автономного округа - Югры &quot;Экологическая безопасность&quot; ------------ Утратил силу или отменен {КонсультантПлюс}">
        <w:r>
          <w:rPr>
            <w:sz w:val="20"/>
            <w:color w:val="0000ff"/>
          </w:rPr>
          <w:t xml:space="preserve">N 147-п</w:t>
        </w:r>
      </w:hyperlink>
      <w:r>
        <w:rPr>
          <w:sz w:val="20"/>
        </w:rPr>
        <w:t xml:space="preserve"> "О внесении изменений в приложение 1 к постановлению Правительства Ханты-Мансийского автономного округа - Югры от 31 октября 2021 года N 482-п "О государственной программе Ханты-Мансийского автономного округа - Югры "Экологическая безопасность".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</w:t>
      </w:r>
      <w:hyperlink w:history="0" r:id="rId20" w:tooltip="Постановление Правительства ХМАО - Югры от 15.04.2022 N 150-п &quot;О внесении изменений в некоторые постановления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15 апреля 2022 года N 150-п "О внесении изменений в некоторые постановления Правительства Ханты-Мансийского автономного округа -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</w:t>
      </w:r>
      <w:hyperlink w:history="0" r:id="rId21" w:tooltip="Постановление Правительства ХМАО - Югры от 10.06.2022 N 259-п &quot;О внесении изменений в некоторые постановления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10 июня 2022 года N 259-п "О внесении изменений в некоторые постановления Правительства Ханты-Мансийского автономного округа -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</w:t>
      </w:r>
      <w:hyperlink w:history="0" r:id="rId22" w:tooltip="Постановление Правительства ХМАО - Югры от 01.07.2022 N 304-п &quot;О внесении изменений в некоторые постановления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1 июля 2022 года N 304-п "О внесении изменений в некоторые постановления Правительства Ханты-Мансийского автономного округа -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</w:t>
      </w:r>
      <w:hyperlink w:history="0" r:id="rId23" w:tooltip="Постановление Правительства ХМАО - Югры от 07.04.2023 N 134-п (ред. от 14.04.2023) &quot;О внесении изменений в некоторые постановления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7 апреля 2023 года N 134-п "О внесении изменений в некоторые постановления Правительства Ханты-Мансийского автономного округа -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</w:t>
      </w:r>
      <w:hyperlink w:history="0" r:id="rId24" w:tooltip="Постановление Правительства ХМАО - Югры от 28.04.2023 N 180-п &quot;О внесении изменений в некоторые постановления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28 апреля 2023 года N 180-п "О внесении изменений в некоторые постановления Правительства Ханты-Мансийского автономного округа -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</w:t>
      </w:r>
      <w:hyperlink w:history="0" r:id="rId25" w:tooltip="Постановление Правительства ХМАО - Югры от 04.08.2023 N 383-п &quot;О внесении изменений в некоторые постановления Правительства Ханты-Мансийского автономного округа - Югры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Ханты-Мансийского автономного округа - Югры от 4 августа 2023 года N 383-п "О внесении изменений в некоторые постановления Правительства Ханты-Мансийского автономного округа - Югры".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января 2024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10 ноября 2023 года N 566-п</w:t>
      </w:r>
    </w:p>
    <w:p>
      <w:pPr>
        <w:pStyle w:val="0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  <w:t xml:space="preserve">"ЭКОЛОГИЧЕСКАЯ БЕЗОПАСНОСТЬ"</w:t>
      </w:r>
    </w:p>
    <w:p>
      <w:pPr>
        <w:pStyle w:val="2"/>
        <w:jc w:val="center"/>
      </w:pPr>
      <w:r>
        <w:rPr>
          <w:sz w:val="20"/>
        </w:rPr>
        <w:t xml:space="preserve">(ДАЛЕЕ - ГОСУДАРСТВЕННАЯ ПРОГРАММА)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остановление Правительства ХМАО - Югры от 19.12.2024 N 506-п &quot;О внесении изменения в постановление Правительства Ханты-Мансийского автономного округа - Югры от 10 ноября 2023 года N 566-п &quot;О государственной программе Ханты-Мансийского автономного округа - Югры &quot;Экологическая безопасность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19.12.2024 N 506-п)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Основные положения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10"/>
        <w:gridCol w:w="6633"/>
      </w:tblGrid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государственной программы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Забозлаев Алексей Геннадиевич - первый заместитель Губернатора Ханты-Мансийского автономного округа - Югры (далее также - автономный округ)</w:t>
            </w:r>
          </w:p>
        </w:tc>
      </w:tr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государственной программы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Служба по контролю и надзору в сфере охраны окружающей среды, объектов животного мира и лесных отношений автономного округа (далее также - Природнадзор Югры)</w:t>
            </w:r>
          </w:p>
        </w:tc>
      </w:tr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государственной программы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2025 - 2030</w:t>
            </w:r>
          </w:p>
        </w:tc>
      </w:tr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Цели государственной программы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Сохранение благоприятной окружающей среды и биологического разнообразия</w:t>
            </w:r>
          </w:p>
        </w:tc>
      </w:tr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Направления (подпрограммы) государственной программы</w:t>
            </w:r>
          </w:p>
        </w:tc>
        <w:tc>
          <w:tcPr>
            <w:tcW w:w="6633" w:type="dxa"/>
          </w:tcPr>
          <w:p>
            <w:pPr>
              <w:pStyle w:val="0"/>
            </w:pPr>
            <w:hyperlink w:history="0" w:anchor="P195" w:tooltip="1.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. "Предотвращение вредного воздействия отходов производства и потребления на окружающую среду".</w:t>
            </w:r>
          </w:p>
          <w:p>
            <w:pPr>
              <w:pStyle w:val="0"/>
            </w:pPr>
            <w:hyperlink w:history="0" w:anchor="P227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. "Сохранение уникальных и типичных природных комплексов, объектов растительного и животного мира".</w:t>
            </w:r>
          </w:p>
          <w:p>
            <w:pPr>
              <w:pStyle w:val="0"/>
            </w:pPr>
            <w:hyperlink w:history="0" w:anchor="P251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. "Снижение негативного воздействия факторов техногенного и природного характера на окружающую среду и ее компоненты"</w:t>
            </w:r>
          </w:p>
        </w:tc>
      </w:tr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финансового обеспечения за весь период реализации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107 416 610,8 тыс. рублей</w:t>
            </w:r>
          </w:p>
        </w:tc>
      </w:tr>
      <w:tr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Связь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633" w:type="dxa"/>
          </w:tcPr>
          <w:p>
            <w:pPr>
              <w:pStyle w:val="0"/>
            </w:pPr>
            <w:r>
              <w:rPr>
                <w:sz w:val="20"/>
              </w:rPr>
              <w:t xml:space="preserve">1. Экологическое благополучие:</w:t>
            </w:r>
          </w:p>
          <w:p>
            <w:pPr>
              <w:pStyle w:val="0"/>
            </w:pPr>
            <w:r>
              <w:rPr>
                <w:sz w:val="20"/>
              </w:rPr>
              <w:t xml:space="preserve">1.1. Показатель "Формирование экономики замкнутого цикла, обеспечивающей к 2030 году вовлечение в хозяйственный оборот не менее чем 25 процентов отходов производства и потребления в качестве вторичных ресурсов и сырья".</w:t>
            </w:r>
          </w:p>
          <w:p>
            <w:pPr>
              <w:pStyle w:val="0"/>
            </w:pPr>
            <w:r>
              <w:rPr>
                <w:sz w:val="20"/>
              </w:rPr>
              <w:t xml:space="preserve">1.2. Показатель "Утилизация и обезвреживание к 2036 году не менее чем 50 процентов общего объема отходов I и II классов опасности".</w:t>
            </w:r>
          </w:p>
          <w:p>
            <w:pPr>
              <w:pStyle w:val="0"/>
            </w:pPr>
            <w:r>
              <w:rPr>
                <w:sz w:val="20"/>
              </w:rPr>
              <w:t xml:space="preserve">1.3. Показатель "Ликвидация до конца 2030 года не менее чем 50 опасных объектов накопленного вреда окружающей среде".</w:t>
            </w:r>
          </w:p>
          <w:p>
            <w:pPr>
              <w:pStyle w:val="0"/>
            </w:pPr>
            <w:r>
              <w:rPr>
                <w:sz w:val="20"/>
              </w:rPr>
              <w:t xml:space="preserve">1.4. Показатель "Сохранение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парках".</w:t>
            </w:r>
          </w:p>
          <w:p>
            <w:pPr>
              <w:pStyle w:val="0"/>
            </w:pPr>
            <w:r>
              <w:rPr>
                <w:sz w:val="20"/>
              </w:rPr>
              <w:t xml:space="preserve">2. Государственная программа Российской Федерации "Охрана окружающей среды"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Показатели государственной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2"/>
        <w:gridCol w:w="2041"/>
        <w:gridCol w:w="907"/>
        <w:gridCol w:w="1077"/>
        <w:gridCol w:w="907"/>
        <w:gridCol w:w="737"/>
        <w:gridCol w:w="907"/>
        <w:gridCol w:w="907"/>
        <w:gridCol w:w="850"/>
        <w:gridCol w:w="850"/>
        <w:gridCol w:w="907"/>
        <w:gridCol w:w="850"/>
        <w:gridCol w:w="2324"/>
        <w:gridCol w:w="1984"/>
        <w:gridCol w:w="2693"/>
      </w:tblGrid>
      <w:tr>
        <w:tc>
          <w:tcPr>
            <w:tcW w:w="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(по </w:t>
            </w:r>
            <w:hyperlink w:history="0" r:id="rId29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6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по годам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достижение показателя</w:t>
            </w:r>
          </w:p>
        </w:tc>
        <w:tc>
          <w:tcPr>
            <w:tcW w:w="26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Связь с показателями национальных целей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6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gridSpan w:val="15"/>
            <w:tcW w:w="18513" w:type="dxa"/>
          </w:tcPr>
          <w:p>
            <w:pPr>
              <w:pStyle w:val="0"/>
            </w:pPr>
            <w:r>
              <w:rPr>
                <w:sz w:val="20"/>
              </w:rPr>
              <w:t xml:space="preserve">Цель: "Сохранение благоприятной окружающей среды и биологического разнообразия"</w:t>
            </w:r>
          </w:p>
        </w:tc>
      </w:tr>
      <w:tr>
        <w:tc>
          <w:tcPr>
            <w:tcW w:w="572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окружающей среды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ГП </w:t>
            </w:r>
            <w:hyperlink w:history="0" w:anchor="P181" w:tooltip="&lt;*&gt; государственная программа автономного округа,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ВДЛ </w:t>
            </w:r>
            <w:hyperlink w:history="0" w:anchor="P182" w:tooltip="&lt;**&gt; показатели для оценки эффективности деятельности высших должностных лиц субъектов Российской Федерации,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114,21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104,17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104,17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104,17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104,17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104,17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108,33</w:t>
            </w:r>
          </w:p>
        </w:tc>
        <w:tc>
          <w:tcPr>
            <w:tcW w:w="2324" w:type="dxa"/>
          </w:tcPr>
          <w:p>
            <w:pPr>
              <w:pStyle w:val="0"/>
            </w:pPr>
            <w:hyperlink w:history="0" r:id="rId30" w:tooltip="Указ Президента РФ от 28.11.2024 N 1014 &quot;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Указ</w:t>
              </w:r>
            </w:hyperlink>
            <w:r>
              <w:rPr>
                <w:sz w:val="20"/>
              </w:rPr>
              <w:t xml:space="preserve"> Президента Российской Федерации от 28 ноября 2024 года N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Природнадзор Югры</w:t>
            </w:r>
          </w:p>
        </w:tc>
        <w:tc>
          <w:tcPr>
            <w:tcW w:w="2693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экономики замкнутого цикла, обеспечивающей к 2030 году вовлечение в хозяйственный оборот не менее чем 25 процентов отходов производства и потребления в качестве вторичных ресурсов 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утилизация и обезвреживание к 2036 году не менее чем 50 процентов общего объема отходов I и II классов 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ликвидация до конца 2030 года не менее чем 50 опасных объектов накопленного вреда окружающей среде</w:t>
            </w:r>
          </w:p>
        </w:tc>
      </w:tr>
      <w:tr>
        <w:tc>
          <w:tcPr>
            <w:tcW w:w="572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ГП РФ </w:t>
            </w:r>
            <w:hyperlink w:history="0" w:anchor="P183" w:tooltip="&lt;***&gt; государственная программа Российской Федерации">
              <w:r>
                <w:rPr>
                  <w:sz w:val="20"/>
                  <w:color w:val="0000ff"/>
                </w:rPr>
                <w:t xml:space="preserve">&lt;***&gt;</w:t>
              </w:r>
            </w:hyperlink>
            <w:r>
              <w:rPr>
                <w:sz w:val="20"/>
              </w:rPr>
              <w:t xml:space="preserve">, ГП </w:t>
            </w:r>
            <w:hyperlink w:history="0" w:anchor="P181" w:tooltip="&lt;*&gt; государственная программа автономного округа,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30,8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21,3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21,3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21,3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25,1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324" w:type="dxa"/>
          </w:tcPr>
          <w:p>
            <w:pPr>
              <w:pStyle w:val="0"/>
            </w:pPr>
            <w:hyperlink w:history="0" r:id="rId31" w:tooltip="&quot;Единый план по достижению национальных целей развития Российской Федерации на период до 2024 года и на плановый период до 2030 года&quot; (утв. распоряжением Правительства РФ от 01.10.2021 N 2765-р) (с изм. от 24.12.2021)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Российской Федерации от 1 октября 2021 года N 2765-р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промышленности автономного округа (далее - Деппромышленности Югры)</w:t>
            </w:r>
          </w:p>
        </w:tc>
        <w:tc>
          <w:tcPr>
            <w:tcW w:w="2693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экономики замкнутого цикла, обеспечивающей к 2030 году вовлечение в хозяйственный оборот не менее чем 25 процентов отходов производства и потребления в качестве вторичных ресурсов 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утилизация и обезвреживание к 2036 году не менее чем 50 процентов общего объема отходов I и II классов опасности</w:t>
            </w:r>
          </w:p>
        </w:tc>
      </w:tr>
      <w:tr>
        <w:tc>
          <w:tcPr>
            <w:tcW w:w="572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ликвидированных несанкционированных свалок отходов и объектов размещения отходов (нарастающим итогом)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ГП </w:t>
            </w:r>
            <w:hyperlink w:history="0" w:anchor="P181" w:tooltip="&lt;*&gt; государственная программа автономного округа,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единица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24" w:type="dxa"/>
          </w:tcPr>
          <w:p>
            <w:pPr>
              <w:pStyle w:val="0"/>
            </w:pPr>
            <w:hyperlink w:history="0" r:id="rId32" w:tooltip="Постановление Правительства РФ от 15.04.2014 N 326 (ред. от 25.12.2024) &quot;Об утверждении государственной программы Российской Федерации &quot;Охрана окружающей среды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15 апреля 2014 года N 326 "Об утверждении государственной программы Российской Федерации "Охрана окружающей среды"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Природнадзор Югры</w:t>
            </w:r>
          </w:p>
        </w:tc>
        <w:tc>
          <w:tcPr>
            <w:tcW w:w="2693" w:type="dxa"/>
          </w:tcPr>
          <w:p>
            <w:pPr>
              <w:pStyle w:val="0"/>
            </w:pPr>
            <w:r>
              <w:rPr>
                <w:sz w:val="20"/>
              </w:rPr>
              <w:t xml:space="preserve">ликвидация до конца 2030 года не менее чем 50 опасных объектов накопленного вреда окружающей среде</w:t>
            </w:r>
          </w:p>
        </w:tc>
      </w:tr>
      <w:tr>
        <w:tc>
          <w:tcPr>
            <w:tcW w:w="572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посетителей особо охраняемых природных территорий регионального значения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ГП </w:t>
            </w:r>
            <w:hyperlink w:history="0" w:anchor="P181" w:tooltip="&lt;*&gt; государственная программа автономного округа,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тысяч человек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20,8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21,5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21,6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21,7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21,7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21,7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21,7</w:t>
            </w:r>
          </w:p>
        </w:tc>
        <w:tc>
          <w:tcPr>
            <w:tcW w:w="2324" w:type="dxa"/>
          </w:tcPr>
          <w:p>
            <w:pPr>
              <w:pStyle w:val="0"/>
            </w:pPr>
            <w:hyperlink w:history="0" r:id="rId33" w:tooltip="&quot;Единый план по достижению национальных целей развития Российской Федерации на период до 2024 года и на плановый период до 2030 года&quot; (утв. распоряжением Правительства РФ от 01.10.2021 N 2765-р) (с изм. от 24.12.2021)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Российской Федерации от 1 октября 2021 года N 2765-р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недропользования и природных ресурсов автономного округа (далее - Депнедра и природных ресурсов Югры)</w:t>
            </w:r>
          </w:p>
        </w:tc>
        <w:tc>
          <w:tcPr>
            <w:tcW w:w="2693" w:type="dxa"/>
          </w:tcPr>
          <w:p>
            <w:pPr>
              <w:pStyle w:val="0"/>
            </w:pPr>
            <w:r>
              <w:rPr>
                <w:sz w:val="20"/>
              </w:rPr>
              <w:t xml:space="preserve">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государственная программа автономного округа,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показатели для оценки эффективности деятельности высших должностных лиц субъектов Российской Федерации,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государственная программа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Структура государственной программы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"/>
        <w:gridCol w:w="2891"/>
        <w:gridCol w:w="4819"/>
        <w:gridCol w:w="2608"/>
      </w:tblGrid>
      <w:tr>
        <w:tc>
          <w:tcPr>
            <w:tcW w:w="7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Задачи структурного элемента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описание ожидаемых эффектов от реализации задачи структурного элемента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Связь с показателями</w:t>
            </w:r>
          </w:p>
        </w:tc>
      </w:tr>
      <w:tr>
        <w:tc>
          <w:tcPr>
            <w:tcW w:w="7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748" w:type="dxa"/>
          </w:tcPr>
          <w:bookmarkStart w:id="195" w:name="P195"/>
          <w:bookmarkEnd w:id="195"/>
          <w:p>
            <w:pPr>
              <w:pStyle w:val="0"/>
              <w:outlineLvl w:val="3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(подпрограмма) "Предотвращение вредного воздействия отходов производства и потребления на окружающую среду"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 "Экономика замкнутого цикла" (куратор - Огородникова Наталья Юрьевна)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 Деппромышленности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2024 - 2030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Построена экономика замкнутого цикла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создать 2 экотехнопарка на базе комплексных полигонов в Нефтеюганском и Октябрьском муниципальных районах автономного округа в целях создания производства продукции из переработанных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увеличить до 0,35% к 2030 году долю вторичных ресурсов от общего объема образованных отходов, используемых в сырье для производства продукции в экотехнопарках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качество окружающей среды; 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Сокращено захоронение твердых коммунальных отходов, в том числе прошедших обработку (сортировку)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снижение доли захоронения твердых коммунальных отходов путем ввода в эксплуатацию полигонов твердых коммунальных отходов для городов и поселений Нижневартовского, Октябрьского, Ханты-Мансийского, Сургутского и Белоярского муниципальных районов мощностью 520 тыс. тонн в год</w:t>
            </w:r>
          </w:p>
        </w:tc>
        <w:tc>
          <w:tcPr>
            <w:vMerge w:val="continue"/>
          </w:tcPr>
          <w:p/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 "Генеральная уборка" (куратор - Забозлаев Алексей Геннадиевич)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 Природнадзор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2024 - 2030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Ликвидированы объекты накопленного вреда окружающей среде, объекты размещения отходов, выведенные из эксплуатации, и несанкционированные свалки отходов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ликвидация объектов накопленного вреда окружающей среде, объектов размещения отходов и несанкционированных свалок отходов общей площадью 57 га в городском округе Сургут и Белоярском, Октябрьском, Кондинском, Советском муниципальных районах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окружающей среды; количество ликвидированных несанкционированных свалок отходов и объектов размещения отходов (нарастающим итогом)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"Развитие системы обращения с отходами производства и потребления"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 Природнадзор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2024 - 2030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Предотвращение вредного воздействия отходов производства и потребления на окружающую среду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1. Обеспечение своевременного вывоза твердых коммунальных отходов региональным оператором по осуществлению деятельности в сфере твердых коммунальных отходов.</w:t>
            </w:r>
          </w:p>
          <w:p>
            <w:pPr>
              <w:pStyle w:val="0"/>
            </w:pPr>
            <w:r>
              <w:rPr>
                <w:sz w:val="20"/>
              </w:rPr>
              <w:t xml:space="preserve">2. Строительство, реконструкция предприятиями-природопользователями объектов для размещения отходов производства и потребления на лицензионных участках.</w:t>
            </w:r>
          </w:p>
          <w:p>
            <w:pPr>
              <w:pStyle w:val="0"/>
            </w:pPr>
            <w:r>
              <w:rPr>
                <w:sz w:val="20"/>
              </w:rPr>
              <w:t xml:space="preserve">3. Минимизация негативного воздействия на окружающую среду путем утилизации буровых отходов при строительстве скважин безамбарным способом, переработки нефтешлама и ликвидация шламовых амбаров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окружающей среды</w:t>
            </w:r>
          </w:p>
        </w:tc>
      </w:tr>
      <w:tr>
        <w:tc>
          <w:tcPr>
            <w:tcW w:w="748" w:type="dxa"/>
          </w:tcPr>
          <w:bookmarkStart w:id="227" w:name="P227"/>
          <w:bookmarkEnd w:id="227"/>
          <w:p>
            <w:pPr>
              <w:pStyle w:val="0"/>
              <w:outlineLvl w:val="3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(подпрограмма) "Сохранение уникальных и типичных природных комплексов, объектов растительного и животного мира"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 "Сохранение биологического разнообразия и развитие экологического туризма" (куратор - Забозлаев Алексей Геннадиевич)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 Депнедра и природных ресурсов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2019 - 2030</w:t>
            </w:r>
          </w:p>
        </w:tc>
      </w:tr>
      <w:tr>
        <w:tc>
          <w:tcPr>
            <w:tcW w:w="7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Обеспечено сохранение биоразнообразия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1. Восстановление популяции ценных и особо ценных пород рыб путем ежегодного выпуска в реки Обь-Иртышского бассейна не менее 15 млн мальков.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посетителей особо охраняемых природных территорий регионального значения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2. Сохранение стабильной численности 2 ключевых редких видов животных</w:t>
            </w:r>
          </w:p>
        </w:tc>
        <w:tc>
          <w:tcPr>
            <w:vMerge w:val="continue"/>
          </w:tcPr>
          <w:p/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Обустроены туристические маршруты на особо охраняемых природных территориях регионального значения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3. Увеличение туристического потока не менее чем на 900 человек путем обустройства туристических маршрутов на особо охраняемых природных территориях регионального значения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"Сохранение биологического разнообразия"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 Депнедра и природных ресурсов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2024 - 2030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Сохранение уникальных и типичных природных комплексов, объектов растительного и животного мира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1. Обеспечение функционирования 21 особо охраняемой природной территории регионального значения.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2. Проведение научно-исследовательских, кадастровых работ и ведение экологического мониторинга в границах особо охраняемых природных территорий автономного округа и их охранных зон.</w:t>
            </w:r>
          </w:p>
          <w:p>
            <w:pPr>
              <w:pStyle w:val="0"/>
            </w:pPr>
            <w:r>
              <w:rPr>
                <w:sz w:val="20"/>
              </w:rPr>
              <w:t xml:space="preserve">3. Ведение Красной книги автономного округа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посетителей особо охраняемых природных территорий регионального значения</w:t>
            </w:r>
          </w:p>
        </w:tc>
      </w:tr>
      <w:tr>
        <w:tc>
          <w:tcPr>
            <w:tcW w:w="748" w:type="dxa"/>
          </w:tcPr>
          <w:bookmarkStart w:id="251" w:name="P251"/>
          <w:bookmarkEnd w:id="251"/>
          <w:p>
            <w:pPr>
              <w:pStyle w:val="0"/>
              <w:outlineLvl w:val="3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(подпрограмма) "Снижение негативного воздействия факторов техногенного и природного характера на окружающую среду и ее компоненты"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"Регулирование качества окружающей среды"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 Природнадзор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2024 - 2030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Снижено негативное воздействие факторов техногенного и природного характера на окружающую среду и ее компоненты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1. Проведение мероприятий по оценке состояния компонентов природной среды в зоне деятельности нефтегазодобывающих предприятий и выявлению динамики содержания загрязняющих веществ в атмосферном воздухе населенных пунктов автономного округа.</w:t>
            </w:r>
          </w:p>
          <w:p>
            <w:pPr>
              <w:pStyle w:val="0"/>
            </w:pPr>
            <w:r>
              <w:rPr>
                <w:sz w:val="20"/>
              </w:rPr>
              <w:t xml:space="preserve">2. Организация и обеспечение функционирования стационарных постов наблюдений за загрязнением атмосферного воздуха в населенных пунктах автономного округа.</w:t>
            </w:r>
          </w:p>
          <w:p>
            <w:pPr>
              <w:pStyle w:val="0"/>
            </w:pPr>
            <w:r>
              <w:rPr>
                <w:sz w:val="20"/>
              </w:rPr>
              <w:t xml:space="preserve">3. Организация и проведение мероприятий Международной экологической акции "Спасти и сохранить".</w:t>
            </w:r>
          </w:p>
          <w:p>
            <w:pPr>
              <w:pStyle w:val="0"/>
            </w:pPr>
            <w:r>
              <w:rPr>
                <w:sz w:val="20"/>
              </w:rPr>
              <w:t xml:space="preserve">4. Развитие экологических движений и центров экологического просвещения, в том числе экологических объединений.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5. Проведение мероприятий по повышению уровня экологической культуры населения, распространению экологических знаний и информированию населения о состоянии окружающей среды.</w:t>
            </w:r>
          </w:p>
          <w:p>
            <w:pPr>
              <w:pStyle w:val="0"/>
            </w:pPr>
            <w:r>
              <w:rPr>
                <w:sz w:val="20"/>
              </w:rPr>
              <w:t xml:space="preserve">6. Создание предприятиями-природопользователями производственной инфраструктуры, способствующей повышению уровня рационального использования попутного нефтяного газа.</w:t>
            </w:r>
          </w:p>
          <w:p>
            <w:pPr>
              <w:pStyle w:val="0"/>
            </w:pPr>
            <w:r>
              <w:rPr>
                <w:sz w:val="20"/>
              </w:rPr>
              <w:t xml:space="preserve">7. Проведение ежегодной рекультивация предприятиями-природопользователями не менее 300 га нефтезагрязненных земель.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8. Проведение государственной экологической экспертизы регионального уровня.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окружающей среды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3.2.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"Охрана водных объектов"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 Депнедра и природных ресурсов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2024 - 2030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3.2.1.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Снижено негативное воздействие факторов техногенного и природного характера на окружающую среду и ее компоненты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1. Определение местоположения береговых линий (границ водных объектов), границ водоохранных зон и прибрежных защитных полос в границах муниципальных образований автономного округа.</w:t>
            </w:r>
          </w:p>
          <w:p>
            <w:pPr>
              <w:pStyle w:val="0"/>
            </w:pPr>
            <w:r>
              <w:rPr>
                <w:sz w:val="20"/>
              </w:rPr>
              <w:t xml:space="preserve">2. Исследование дна, берегов, изменений морфометрических особенностей, состояния водоохранных зон водных объектов и гидротехнических сооружений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окружающей среды</w:t>
            </w:r>
          </w:p>
        </w:tc>
      </w:tr>
      <w:tr>
        <w:tc>
          <w:tcPr>
            <w:tcW w:w="748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Структурный элемент, не входящий в направления (подпрограммы)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4.1.</w:t>
            </w:r>
          </w:p>
        </w:tc>
        <w:tc>
          <w:tcPr>
            <w:gridSpan w:val="3"/>
            <w:tcW w:w="103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"Обеспечение деятельности исполнительных органов Ханты-Мансийского автономного округа - Югры"</w:t>
            </w:r>
          </w:p>
        </w:tc>
      </w:tr>
      <w:tr>
        <w:tc>
          <w:tcPr>
            <w:gridSpan w:val="2"/>
            <w:tcW w:w="3639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Природнадзор Югры</w:t>
            </w:r>
          </w:p>
        </w:tc>
        <w:tc>
          <w:tcPr>
            <w:gridSpan w:val="2"/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реализации: 2024 - 2030</w:t>
            </w:r>
          </w:p>
        </w:tc>
      </w:tr>
      <w:tr>
        <w:tc>
          <w:tcPr>
            <w:tcW w:w="748" w:type="dxa"/>
          </w:tcPr>
          <w:p>
            <w:pPr>
              <w:pStyle w:val="0"/>
            </w:pPr>
            <w:r>
              <w:rPr>
                <w:sz w:val="20"/>
              </w:rPr>
              <w:t xml:space="preserve">4.1.1.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осуществления функций и полномочий Природнадзор Югры</w:t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Природнадзора Югры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Финансовое обеспечение государственной программы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3118"/>
        <w:gridCol w:w="1316"/>
        <w:gridCol w:w="1361"/>
        <w:gridCol w:w="1361"/>
        <w:gridCol w:w="1361"/>
        <w:gridCol w:w="1361"/>
        <w:gridCol w:w="1247"/>
        <w:gridCol w:w="1458"/>
      </w:tblGrid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gridSpan w:val="7"/>
            <w:tcW w:w="9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gridSpan w:val="2"/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программа (всего),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20895834,1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17698259,3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37340244,7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11408048,1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15166480,5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4907744,1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107416610,8</w:t>
            </w:r>
          </w:p>
        </w:tc>
      </w:tr>
      <w:tr>
        <w:tc>
          <w:tcPr>
            <w:gridSpan w:val="2"/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(всего), из них: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2704466,2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1668076,7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1368536,6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983692,6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983692,6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983692,6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8692157,3</w:t>
            </w:r>
          </w:p>
        </w:tc>
      </w:tr>
      <w:tr>
        <w:tc>
          <w:tcPr>
            <w:gridSpan w:val="2"/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местным бюджетам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680642,0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191188,2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191188,2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191057,3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191057,3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191057,3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1636190,3</w:t>
            </w:r>
          </w:p>
        </w:tc>
      </w:tr>
      <w:tr>
        <w:tc>
          <w:tcPr>
            <w:gridSpan w:val="2"/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167155,7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93138,6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93138,6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80477,9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80477,9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80477,9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594866,6</w:t>
            </w:r>
          </w:p>
        </w:tc>
      </w:tr>
      <w:tr>
        <w:tc>
          <w:tcPr>
            <w:gridSpan w:val="2"/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18024212,2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15937044,0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35878569,5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10343877,6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14102310,0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3843573,6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98129586,9</w:t>
            </w:r>
          </w:p>
        </w:tc>
      </w:tr>
      <w:tr>
        <w:tc>
          <w:tcPr>
            <w:gridSpan w:val="2"/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налоговых расходов автономного округа (справочно)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29116,0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28819,0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28603,0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86538,0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 "Экономика замкнутого цикла" (всего),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8739661,4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2291578,8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11031240,2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(всего), из них: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1326952,0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300000,0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1626952,0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местным бюджетам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500552,0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500552,0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74795,0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74795,0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7337914,4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1991578,8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9329493,2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 "Генеральная уборка",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269142,5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280920,4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280920,4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268259,7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268259,7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268259,7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1635762,4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(всего), из них: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176781,8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1115690,8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местным бюджетам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176781,8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187781,8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1115690,8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92360,7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93138,6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93138,6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80477,9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80477,9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80477,9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520071,6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"Развитие системы обращения с отходами производства и потребления" (всего),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4976924,3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5993178,2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4597145,9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3651601,1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3465075,3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3153309,0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25837233,8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(всего), из них: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199436,1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185987,5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185987,5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3875,5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3875,5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3875,5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583037,6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местным бюджетам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3308,2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3406,4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3406,4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3275,5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3275,5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3275,5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19947,5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4777488,2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5807190,7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4411158,4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3647725,6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3461199,8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3149433,5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25254196,2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 "Сохранение биологического разнообразия и развитие экологического туризма" (всего),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33006,0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5501,0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33006,0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"Сохранение биологического разнообразия" (всего)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338038,2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346606,6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347066,5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235693,3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235693,3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235693,3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1738791,2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338038,2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346606,6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347066,5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235693,3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235693,3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235693,3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1738791,2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"Регулирование качества окружающей среды" (всего),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6016533,6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8214998,5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31544135,1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6716706,0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10661664,2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714694,1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63868731,5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107724,0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76724,0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76724,0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20554,0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20554,0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20554,0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322834,0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5908809,6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8138274,5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31467411,1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6696152,0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10641110,2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694140,1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63545897,5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"Охрана водных объектов" (всего),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22588,2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21937,5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21937,5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8299,9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8299,9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8299,9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91362,9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22588,2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21937,5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21937,5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8299,9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8299,9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8299,9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91362,9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"Обеспечение деятельности исполнительных органов Ханты-Мансийского автономного округа - Югры" (всего), в том числе: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527444,9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543538,3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543538,3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521987,1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521987,1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521987,1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3180482,8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8.1.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 (всего)</w:t>
            </w:r>
          </w:p>
        </w:tc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527444,9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543538,3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543538,3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521987,1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521987,1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521987,1</w:t>
            </w:r>
          </w:p>
        </w:tc>
        <w:tc>
          <w:tcPr>
            <w:tcW w:w="1458" w:type="dxa"/>
          </w:tcPr>
          <w:p>
            <w:pPr>
              <w:pStyle w:val="0"/>
            </w:pPr>
            <w:r>
              <w:rPr>
                <w:sz w:val="20"/>
              </w:rPr>
              <w:t xml:space="preserve">3180482,8</w:t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Показатели государственной программы в разрезе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автономного округа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154"/>
        <w:gridCol w:w="850"/>
        <w:gridCol w:w="737"/>
        <w:gridCol w:w="737"/>
        <w:gridCol w:w="794"/>
        <w:gridCol w:w="794"/>
        <w:gridCol w:w="794"/>
        <w:gridCol w:w="794"/>
        <w:gridCol w:w="73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 автономного округа</w:t>
            </w:r>
          </w:p>
        </w:tc>
        <w:tc>
          <w:tcPr>
            <w:gridSpan w:val="2"/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6"/>
            <w:tcW w:w="4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10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ликвидированных несанкционированных свалок и объектов размещения отходов, единица</w:t>
            </w:r>
          </w:p>
        </w:tc>
      </w:tr>
      <w:tr>
        <w:tc>
          <w:tcPr>
            <w:gridSpan w:val="2"/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Нижневартовск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Нефтеюганск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Белоярский муниципальный район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Сургут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муниципальный район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Кондинский муниципальный район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 муниципальный район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Перечень создаваемых объектов на 2025 год и на плановый</w:t>
      </w:r>
    </w:p>
    <w:p>
      <w:pPr>
        <w:pStyle w:val="2"/>
        <w:jc w:val="center"/>
      </w:pPr>
      <w:r>
        <w:rPr>
          <w:sz w:val="20"/>
        </w:rPr>
        <w:t xml:space="preserve">период 2026 - 2030 годов, включая приобретение объектов</w:t>
      </w:r>
    </w:p>
    <w:p>
      <w:pPr>
        <w:pStyle w:val="2"/>
        <w:jc w:val="center"/>
      </w:pPr>
      <w:r>
        <w:rPr>
          <w:sz w:val="20"/>
        </w:rPr>
        <w:t xml:space="preserve">недвижимого имущества, объектов, создаваемых в соответствии</w:t>
      </w:r>
    </w:p>
    <w:p>
      <w:pPr>
        <w:pStyle w:val="2"/>
        <w:jc w:val="center"/>
      </w:pPr>
      <w:r>
        <w:rPr>
          <w:sz w:val="20"/>
        </w:rPr>
        <w:t xml:space="preserve">с соглашениями о государственно-частном партнерстве,</w:t>
      </w:r>
    </w:p>
    <w:p>
      <w:pPr>
        <w:pStyle w:val="2"/>
        <w:jc w:val="center"/>
      </w:pPr>
      <w:r>
        <w:rPr>
          <w:sz w:val="20"/>
        </w:rPr>
        <w:t xml:space="preserve">муниципально-частном партнерстве и концессионными</w:t>
      </w:r>
    </w:p>
    <w:p>
      <w:pPr>
        <w:pStyle w:val="2"/>
        <w:jc w:val="center"/>
      </w:pPr>
      <w:r>
        <w:rPr>
          <w:sz w:val="20"/>
        </w:rPr>
        <w:t xml:space="preserve">соглашениями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5"/>
        <w:gridCol w:w="1871"/>
        <w:gridCol w:w="2268"/>
        <w:gridCol w:w="1077"/>
        <w:gridCol w:w="1077"/>
        <w:gridCol w:w="1247"/>
        <w:gridCol w:w="1304"/>
        <w:gridCol w:w="1814"/>
        <w:gridCol w:w="1191"/>
        <w:gridCol w:w="1247"/>
        <w:gridCol w:w="680"/>
        <w:gridCol w:w="680"/>
        <w:gridCol w:w="680"/>
        <w:gridCol w:w="737"/>
        <w:gridCol w:w="1247"/>
        <w:gridCol w:w="1814"/>
      </w:tblGrid>
      <w:tr>
        <w:tc>
          <w:tcPr>
            <w:tcW w:w="5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Мощность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строительства, проектирования (характер работ)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стоимости на 01.01.2025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  <w:tc>
          <w:tcPr>
            <w:gridSpan w:val="6"/>
            <w:tcW w:w="52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Инвестиции, тыс. рублей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Механизм реализации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Заказчик по строительству (приобретению)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год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год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gridSpan w:val="7"/>
            <w:tcW w:w="93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Всего, в том числе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8075648,1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2291578,8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округа, из них: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1316952,0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300000,0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74795,0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6683901,1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1991578,8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Белоярский муниципальный район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Белоярский межпоселенческий полигон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тыс. тонн/год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2022 - 2025 (ПИР 2022 - 2024 СМР 2025)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479455,9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479455,9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479455,90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концессия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МО Белоярского района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округа, из них: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250276,0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37397,5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191782,4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Октябрьский муниципальный район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Полигон твердых коммунальных отходов для пгт. Игрим, поселений Березовского и Октябрьского районов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тыс. тонн/год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2022 - 2025 (ПИР 2022 - 2024 СМР 2025)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479455,9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479455,9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479455,9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концессия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МО Октябрьского района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округа, из них: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250276,0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37397,5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191782,4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Нижневартовский муниципальный район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Комплексный межмуниципальный полигон твердых коммунальных отходов для городов Нижневартовска и Мегиона, поселений Нижневартовского района Ханты-Мансийского автономного округа - Югры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180 тыс. тонн/год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2021 - 2026 (ПИР 2021 - 2024 СМР 2025 - 2026)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2889700,0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2617721,00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2317721,0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300000,0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концессия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Деппромышленности Югры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округа, из них: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200000,0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300000,0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2117721,0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Октябрьский муниципальный район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Комплексный межмуниципальный полигон твердых коммунальных отходов для города Нягани, поселений Октябрьского района Ханты-Мансийского автономного округа - Югры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 тыс. тонн/год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2024 - 2025 (ПИР 2024 СМР 2024 - 2025)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2001934,6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1839904,6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1839904,6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концессия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Деппромышленности Югры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округа, из них: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429400,0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1410504,6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муниципальный район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Комплексный межмуниципальный полигон твердых коммунальных отходов для города Ханты-Мансийска, поселений Ханты-Мансийского района Ханты-Мансийского автономного округа - Югры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50 тыс. тонн/год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2020 - 2026 (ПИР 2020 - 2024 СМР 2025 - 2026)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851057,0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830250,1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830250,1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концессия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Деппромышленности Югры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округа, из них: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187000,0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643250,1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Сургут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Комплексный межмуниципальный полигон твердых коммунальных отходов для городов Сургута, Когалыма, поселений Сургутского района Ханты-Мансийского автономного округа - Югры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235 тыс. тонн/год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2021 - 2026 (ПИР 2021 - 2024 СМР 2025 - 2026)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4299000,0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4120439,4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2128860,6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1991578,8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концессия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Деппромышленности Югры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автономного округа, из них: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местный бюджет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2128860,6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1991578,8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0,0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7"/>
      <w:headerReference w:type="first" r:id="rId27"/>
      <w:footerReference w:type="default" r:id="rId28"/>
      <w:footerReference w:type="first" r:id="rId28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10.11.2023 N 566-п</w:t>
            <w:br/>
            <w:t>(ред. от 26.12.2024)</w:t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10.11.2023 N 566-п</w:t>
            <w:br/>
            <w:t>(ред. от 26.12.2024)</w:t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97771&amp;dst=106440" TargetMode = "External"/>
	<Relationship Id="rId8" Type="http://schemas.openxmlformats.org/officeDocument/2006/relationships/hyperlink" Target="https://login.consultant.ru/link/?req=doc&amp;base=RLAW926&amp;n=302078&amp;dst=100265" TargetMode = "External"/>
	<Relationship Id="rId9" Type="http://schemas.openxmlformats.org/officeDocument/2006/relationships/hyperlink" Target="https://login.consultant.ru/link/?req=doc&amp;base=RLAW926&amp;n=306020&amp;dst=100005" TargetMode = "External"/>
	<Relationship Id="rId10" Type="http://schemas.openxmlformats.org/officeDocument/2006/relationships/hyperlink" Target="https://login.consultant.ru/link/?req=doc&amp;base=RLAW926&amp;n=311674&amp;dst=100005" TargetMode = "External"/>
	<Relationship Id="rId11" Type="http://schemas.openxmlformats.org/officeDocument/2006/relationships/hyperlink" Target="https://login.consultant.ru/link/?req=doc&amp;base=RLAW926&amp;n=314675&amp;dst=100005" TargetMode = "External"/>
	<Relationship Id="rId12" Type="http://schemas.openxmlformats.org/officeDocument/2006/relationships/hyperlink" Target="https://login.consultant.ru/link/?req=doc&amp;base=RLAW926&amp;n=315270&amp;dst=100005" TargetMode = "External"/>
	<Relationship Id="rId13" Type="http://schemas.openxmlformats.org/officeDocument/2006/relationships/hyperlink" Target="https://login.consultant.ru/link/?req=doc&amp;base=RZR&amp;n=466790&amp;dst=7419" TargetMode = "External"/>
	<Relationship Id="rId14" Type="http://schemas.openxmlformats.org/officeDocument/2006/relationships/hyperlink" Target="https://login.consultant.ru/link/?req=doc&amp;base=RLAW926&amp;n=305478&amp;dst=117" TargetMode = "External"/>
	<Relationship Id="rId15" Type="http://schemas.openxmlformats.org/officeDocument/2006/relationships/hyperlink" Target="https://login.consultant.ru/link/?req=doc&amp;base=RLAW926&amp;n=293957" TargetMode = "External"/>
	<Relationship Id="rId16" Type="http://schemas.openxmlformats.org/officeDocument/2006/relationships/hyperlink" Target="https://login.consultant.ru/link/?req=doc&amp;base=RLAW926&amp;n=267533" TargetMode = "External"/>
	<Relationship Id="rId17" Type="http://schemas.openxmlformats.org/officeDocument/2006/relationships/hyperlink" Target="https://login.consultant.ru/link/?req=doc&amp;base=RLAW926&amp;n=266809" TargetMode = "External"/>
	<Relationship Id="rId18" Type="http://schemas.openxmlformats.org/officeDocument/2006/relationships/hyperlink" Target="https://login.consultant.ru/link/?req=doc&amp;base=RLAW926&amp;n=270490" TargetMode = "External"/>
	<Relationship Id="rId19" Type="http://schemas.openxmlformats.org/officeDocument/2006/relationships/hyperlink" Target="https://login.consultant.ru/link/?req=doc&amp;base=RLAW926&amp;n=277657" TargetMode = "External"/>
	<Relationship Id="rId20" Type="http://schemas.openxmlformats.org/officeDocument/2006/relationships/hyperlink" Target="https://login.consultant.ru/link/?req=doc&amp;base=RLAW926&amp;n=253436&amp;dst=100005" TargetMode = "External"/>
	<Relationship Id="rId21" Type="http://schemas.openxmlformats.org/officeDocument/2006/relationships/hyperlink" Target="https://login.consultant.ru/link/?req=doc&amp;base=RLAW926&amp;n=257155&amp;dst=100005" TargetMode = "External"/>
	<Relationship Id="rId22" Type="http://schemas.openxmlformats.org/officeDocument/2006/relationships/hyperlink" Target="https://login.consultant.ru/link/?req=doc&amp;base=RLAW926&amp;n=258585&amp;dst=100005" TargetMode = "External"/>
	<Relationship Id="rId23" Type="http://schemas.openxmlformats.org/officeDocument/2006/relationships/hyperlink" Target="https://login.consultant.ru/link/?req=doc&amp;base=RLAW926&amp;n=277790&amp;dst=100005" TargetMode = "External"/>
	<Relationship Id="rId24" Type="http://schemas.openxmlformats.org/officeDocument/2006/relationships/hyperlink" Target="https://login.consultant.ru/link/?req=doc&amp;base=RLAW926&amp;n=278548&amp;dst=100005" TargetMode = "External"/>
	<Relationship Id="rId25" Type="http://schemas.openxmlformats.org/officeDocument/2006/relationships/hyperlink" Target="https://login.consultant.ru/link/?req=doc&amp;base=RLAW926&amp;n=284680&amp;dst=100005" TargetMode = "External"/>
	<Relationship Id="rId26" Type="http://schemas.openxmlformats.org/officeDocument/2006/relationships/hyperlink" Target="https://login.consultant.ru/link/?req=doc&amp;base=RLAW926&amp;n=314675&amp;dst=100005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https://login.consultant.ru/link/?req=doc&amp;base=RZR&amp;n=495935" TargetMode = "External"/>
	<Relationship Id="rId30" Type="http://schemas.openxmlformats.org/officeDocument/2006/relationships/hyperlink" Target="https://login.consultant.ru/link/?req=doc&amp;base=RZR&amp;n=491669" TargetMode = "External"/>
	<Relationship Id="rId31" Type="http://schemas.openxmlformats.org/officeDocument/2006/relationships/hyperlink" Target="https://login.consultant.ru/link/?req=doc&amp;base=RZR&amp;n=398015" TargetMode = "External"/>
	<Relationship Id="rId32" Type="http://schemas.openxmlformats.org/officeDocument/2006/relationships/hyperlink" Target="https://login.consultant.ru/link/?req=doc&amp;base=RZR&amp;n=494892" TargetMode = "External"/>
	<Relationship Id="rId33" Type="http://schemas.openxmlformats.org/officeDocument/2006/relationships/hyperlink" Target="https://login.consultant.ru/link/?req=doc&amp;base=RZR&amp;n=398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10.11.2023 N 566-п
(ред. от 26.12.2024)
"О государственной программе Ханты-Мансийского автономного округа - Югры "Экологическая безопасность"
(с изм. и доп., вступающими в силу с 01.01.2025)</dc:title>
  <dcterms:created xsi:type="dcterms:W3CDTF">2025-03-13T07:26:45Z</dcterms:created>
</cp:coreProperties>
</file>