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ер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 проектов ГЧП, концессионных соглашений,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реализуемые в Ханты-Мансийском автономном округе – Югре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b/>
          <w:bCs w:val="0"/>
          <w:i w:val="0"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Капитальный грант в форме субсидии в целях возмещения затрат</w:t>
        <w:br/>
        <w:t xml:space="preserve">по исполнению концессионного соглашения, связанных с приобретением технологического оборудования и специализированной техники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(предусмотрен Государственной программой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«Экологическая безопасность», утвержденной постановлением Правительства Ханты-Мансийского автономного</w:t>
        <w:br/>
        <w:t xml:space="preserve">округа – Югры от 10.11.2023 № 566-п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убсидия из бюджета Ханты-Мансийского автономного</w:t>
        <w:br/>
        <w:t xml:space="preserve">округа – Югры бюджетам муниципальных образований автономного округа на софинансирование мероприятий муниципальных программ, предусматривающих создание объектов обращения с отходами в соответствии с концессио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нными соглашениями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предусмотрена 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сударственной программой Ханты-Мансийского автономного округа – Югры «Экологическая безопасность», утвержденной постановлением Правительства Ханты-Мансийского автономного округа – Югры от 10.11.2023 № 566-п (мероприятие 3.3 «Создание локальных объектов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размещения твердых коммунальных отходов»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3. </w:t>
      </w:r>
      <w:r>
        <w:rPr>
          <w:rFonts w:ascii="Times New Roman" w:hAnsi="Times New Roman" w:cs="Times New Roman"/>
          <w:strike w:val="0"/>
          <w:color w:val="auto"/>
          <w:sz w:val="28"/>
          <w:szCs w:val="28"/>
          <w:highlight w:val="none"/>
          <w:u w:val="none"/>
        </w:rPr>
        <w:t xml:space="preserve">Субсидия на финансовое обеспечение (возмещение) затрат</w:t>
        <w:br/>
        <w:t xml:space="preserve">по проектированию, строительству и оснащению объекта</w:t>
      </w:r>
      <w:r>
        <w:rPr>
          <w:rFonts w:ascii="Times New Roman" w:hAnsi="Times New Roman" w:cs="Times New Roman"/>
          <w:strike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(до ввода объекта</w:t>
        <w:br/>
        <w:t xml:space="preserve">в эксплуатацию, предусмотрена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Государственной программой</w:t>
        <w:br/>
        <w:t xml:space="preserve">Ханты-Мансийского автономного округа – Югры «Современное здравоохранение», утвержденной постановлением Правительства</w:t>
        <w:br/>
        <w:t xml:space="preserve">Ханты-Мансийского автономного округа – Югры № 558-п от 10.11.2023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Субсидия на финансовое обеспечение (возмещение) затрат</w:t>
        <w:br/>
        <w:t xml:space="preserve">по проектированию, строительству и оснащению объекта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после ввода объекта в эксплуатацию,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предусмотрена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Государственной программой</w:t>
        <w:br/>
        <w:t xml:space="preserve">Ханты-Мансийского автономного округа – Югры «Современное здравоохранение», утвержденной постановлением Правительства</w:t>
        <w:br/>
        <w:t xml:space="preserve">Ханты-Мансийского автономного округа – Югры № 558-п от 10.11.2023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Субсидия на финансовое обеспечение (возмещение) затрат по уплате процентов по договорам займа и/или кредитным договорам, заключенным Частным Партнёром для исполнения согла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шения о государственно-частном партнерстве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предусмотрена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Государственной программой</w:t>
        <w:br/>
        <w:t xml:space="preserve">Ханты-Мансийского автономного округа – Югры «Современное здравоохранение», утвержденной постановлением Правительства</w:t>
        <w:br/>
        <w:t xml:space="preserve">Ханты-Мансийского автономного округа – Югры № 558-п от 10.11.2023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6.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Субсидия на возмещение затрат в связи с оказанием услуг (производством работ) по технической эксплуатации объекта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предусмотрена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Государственной программой Ханты-Мансийского автономного</w:t>
        <w:br/>
        <w:t xml:space="preserve">округа – Югры «Современное здравоохранение», утвержденной постановлением Правительства Ханты-Мансийского автономного</w:t>
        <w:br/>
        <w:t xml:space="preserve">округа – Югры № 558-п от 10.11.2023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u w:val="none"/>
        </w:rPr>
      </w:r>
    </w:p>
    <w:p>
      <w:pPr>
        <w:ind w:left="0" w:right="0" w:firstLine="708"/>
        <w:jc w:val="both"/>
        <w:spacing w:before="0" w:after="0" w:line="276" w:lineRule="auto"/>
        <w:rPr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Субсидия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на софинансирование мероприятий муниципальных программ, предусматривающих создание, реконструкцию объектов образования в соответствии с концессионными соглашениями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 (предусмотрена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Го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сударственной программой Ханты-Мансийского автономного</w:t>
        <w:br/>
        <w:t xml:space="preserve">округа – Югры «Строительство», утвержденной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Правительства Ханты-Мансийского автономного округа – Югры от 10.11.2023 № 561-п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 (приложение 23 к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Правительства</w:t>
        <w:br/>
        <w:t xml:space="preserve">Ханты-Мансийского автономного округа – Югры от 29.12.2020 № 643-п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«О мерах по реализации государственной программы Ханты-Мансийского автономного округа – Югры «Строительство»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), ранее</w:t>
        <w:br/>
        <w:t xml:space="preserve">(до 2024 года)  –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Го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сударственной программой Ханты-Мансийского автономного округа – Югры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«Развитие образования», утвержденной постановлением Правительства Ханты-Мансийского автономного</w:t>
        <w:br/>
        <w:t xml:space="preserve">округа – Югры от 10.11.2023 № 550-п (мероприятие 4.1 «Региональный проект «Современная школ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а»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).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Субсид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ия на софинансироване мероприятий муниципальных программ, предусматривающих создание (ре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конструкцию) объектов образования в соответствии с концессионными соглашениями, в связи</w:t>
        <w:br/>
        <w:t xml:space="preserve">с ростом числа обучающихся, вызванным демографическим фактором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предусмотрена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Го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сударственной программой Ханты-Мансийского автономного округа – Югры «Строительство», утвержденной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Правительства Ханты-Мансийского автономного округа – Югры от 10.11.2023 № 561-п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 (приложение 24 к постановлению 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Правительства</w:t>
        <w:br/>
        <w:t xml:space="preserve">Ханты-Мансийского автономного округа – Югры от 29.12.2020 № 643-п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«О мерах по реализации государственной программы Ханты-Мансийского автономного округа – Югры «Строительство»</w:t>
      </w: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), ранее</w:t>
        <w:br/>
        <w:t xml:space="preserve">(до 2024 года)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сударственной программой Ханты-Мансийского автономного округа – Югры «Развитие образования», утвержденной постановлением Правительства Ханты-Мансийского автономного</w:t>
        <w:br/>
        <w:t xml:space="preserve">округа – Югры от 10.11.2023 № 550-п (мероприятие 4.1 «Региональный проект «Современная 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).</w:t>
      </w:r>
      <w:r>
        <w:rPr>
          <w:color w:val="000000" w:themeColor="text1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убсидия на софинансироване мероприятий муниципальных программ, предусматривающих создание, реконструкцию объектов спорта</w:t>
        <w:br/>
        <w:t xml:space="preserve">в соответствии с концессионными соглашениями, соглашениями</w:t>
        <w:br/>
        <w:t xml:space="preserve">о муниципально-частном партнерстве (ранее – выплата капитального гранта (суб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идия) на исполнение денежных обязательств концедента (публичного партнера) по концессионным соглашениям, соглашениям о муниципально-частном партнерстве, которые предусматривают расходы (согласно графику платежей, являющемуся неотъемлемой частью соглашения)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на возмещение</w:t>
        <w:br/>
        <w:t xml:space="preserve">и (или) финансовое обеспечение части расходов концессионера по созданию (реконструкции) объекта концессионного соглашения)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(предусмотрена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Государственной программой Ханты-Мансийского автономного</w:t>
        <w:br/>
        <w:t xml:space="preserve">округа – Югры «Строительство», утвержденной постановлением Правительства Ханты-Мансийского автономного округа – Югры от 10.11.2023 № 561-п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(приложение 25 к постановлению Правительства</w:t>
        <w:br/>
        <w:t xml:space="preserve">Ханты-Мансийского автономного округа – Югры от 29.12.2020 № 643-п</w:t>
        <w:br/>
        <w:t xml:space="preserve">«О мерах по реализации государственной программы Ханты-Мансийского автономного округа – Югры «Строительство»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 (ранее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сударственной программой Ханты-Мансийского автономного округа – Югры «Развитие физической культуры и спорта», утвержденной постановлением Правительства Ханты-Мансийского автономного округа – Югры от 31.10.2021 № 471-п (мероприятие 1.4.1 «Развитие материаль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но-технической базы муниципальных учреждений спорта» основного мероприятия 1.4 «Укрепление материально-технической базы учреждений спорта муниципальных образований» подпрограммы 1 «Развитие физической культуры, массового</w:t>
        <w:br/>
        <w:t xml:space="preserve">и детско-юношеского спорта»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).</w:t>
      </w:r>
      <w:r>
        <w:rPr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jc w:val="center"/>
        <w:spacing w:after="0" w:line="276" w:lineRule="auto"/>
        <w:rPr>
          <w:bCs w:val="0"/>
          <w:i w:val="0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Льготы по налогам для инвесторов, реализующих проекты ГЧП, в Ханты-Мансийском автономном округе – Югре</w:t>
      </w:r>
      <w:r>
        <w:rPr>
          <w:i w:val="0"/>
          <w:iCs w:val="0"/>
        </w:rPr>
      </w:r>
      <w:r/>
    </w:p>
    <w:p>
      <w:pPr>
        <w:jc w:val="center"/>
        <w:spacing w:after="0" w:line="276" w:lineRule="auto"/>
        <w:rPr>
          <w:bCs w:val="0"/>
          <w:i w:val="0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i w:val="0"/>
          <w:iCs w:val="0"/>
        </w:rPr>
      </w:r>
      <w:r/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1. По налогу на имущество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(Закон Ханты-Мансийского автономного округа – Югры от 29.10.2010 года № 190-оз «О налоге</w:t>
        <w:br/>
        <w:t xml:space="preserve">на имущество организаций»):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Организации, реализующие инвестиционные проекты, которые включены в Реестр инвестиционных проектов Ханты-Мансийского автономного округа – Югры с целью применения налогопл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ательщиками льготы по налогу на имущество организаций, освобождаются от уплаты налога в отношении недвижимого имущества, созданного в процессе реализации инвестиционного проекта, в течение трех лет с даты ввода объекта недвижимого имущества в эксплуатацию.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Исчисленная сумма налога уменьшается на 50 % для организаций, реализующих проекты на основе концессионных соглашений, соглашений ГЧП: в отношении объектов дошкольного образования, объектов, используемых в сфере отопления, имущества, относящ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егося</w:t>
        <w:br/>
        <w:t xml:space="preserve">к газораспределительным сетям производственных, имущественных объектов, в том числе трубопроводов и иных объектов, расположенных (полностью или частично) в границах поселений и обеспечивающих комфортные условия проживания граждан в жилых помещениях. </w:t>
      </w:r>
      <w:r>
        <w:rPr>
          <w:color w:val="000000" w:themeColor="text1"/>
          <w:highlight w:val="none"/>
          <w:u w:val="none"/>
        </w:rPr>
      </w:r>
      <w:r>
        <w:rPr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2. Инвестиционный налоговый вычет: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Инвестиционный налоговый вычет устанавливается в размере</w:t>
        <w:br/>
        <w:t xml:space="preserve">70 процентов суммы расходов, составляющей первоначальную стоимость основного средства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абзацем вторым пункта 1 статьи 257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Налогового кодекса Российской Федерации, и (или) суммы расходов, составляющей величину изменения первоначальной стоимости основного средства в случаях,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пункте 2 статьи 257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Налогового кодекса Российской Федерации (за исключением частичной ликвидации основного средства), для организаций или обособленных подразделений организаций, расположенных на территории Ханты-Мансийского автономного округа - Югры и осуществляющих следующи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е основные виды экономической деятельности, соответствующие присвоенному в установленном порядке коду Общероссийского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классификатора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видов экономической деятельности: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1) растениеводство и животноводство, охота и предоставление соответствующих услуг в этих областях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(класс 01)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2) лесоводство и лесозаготовки </w:t>
      </w:r>
      <w:hyperlink r:id="rId12" w:tooltip="https://login.consultant.ru/link/?req=doc&amp;base=LAW&amp;n=495920&amp;dst=100395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02)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3) рыболовство и рыбоводство </w:t>
      </w:r>
      <w:hyperlink r:id="rId13" w:tooltip="https://login.consultant.ru/link/?req=doc&amp;base=LAW&amp;n=495920&amp;dst=100438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03)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4) обрабатывающие производства, за исключением производства нефтепродуктов (</w:t>
      </w:r>
      <w:hyperlink r:id="rId14" w:tooltip="https://login.consultant.ru/link/?req=doc&amp;base=LAW&amp;n=495920&amp;dst=100714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классы 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15" w:tooltip="https://login.consultant.ru/link/?req=doc&amp;base=LAW&amp;n=495920&amp;dst=101418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6" w:tooltip="https://login.consultant.ru/link/?req=doc&amp;base=LAW&amp;n=495920&amp;dst=101438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подклассы 19.1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7" w:tooltip="https://login.consultant.ru/link/?req=doc&amp;base=LAW&amp;n=495920&amp;dst=101446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19.3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8" w:tooltip="https://login.consultant.ru/link/?req=doc&amp;base=LAW&amp;n=495920&amp;dst=101462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классы 20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19" w:tooltip="https://login.consultant.ru/link/?req=doc&amp;base=LAW&amp;n=495920&amp;dst=102683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33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5) забор, очистка и распределение воды </w:t>
      </w:r>
      <w:hyperlink r:id="rId20" w:tooltip="https://login.consultant.ru/link/?req=doc&amp;base=LAW&amp;n=495920&amp;dst=102812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36)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6) сбор и обработка сточных вод </w:t>
      </w:r>
      <w:hyperlink r:id="rId21" w:tooltip="https://login.consultant.ru/link/?req=doc&amp;base=LAW&amp;n=495920&amp;dst=102823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37)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7) сбор, обработка и утилизация отходов; обработка вторичного сырья </w:t>
      </w:r>
      <w:hyperlink r:id="rId22" w:tooltip="https://login.consultant.ru/link/?req=doc&amp;base=LAW&amp;n=495920&amp;dst=102830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38)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8) предоставление услуг в области ликвидации последствий загрязнений и прочих услуг, связанных с удалением отходов </w:t>
      </w:r>
      <w:hyperlink r:id="rId23" w:tooltip="https://login.consultant.ru/link/?req=doc&amp;base=LAW&amp;n=495920&amp;dst=102885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(класс 39)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9) строительство жилых и нежилых зданий </w:t>
      </w:r>
      <w:hyperlink r:id="rId24" w:tooltip="https://login.consultant.ru/link/?req=doc&amp;base=LAW&amp;n=495920&amp;dst=106031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(подкласс 41.2)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10) транспортировка и хранение, за исключением трубопроводного транспорта (</w:t>
      </w:r>
      <w:hyperlink r:id="rId25" w:tooltip="https://login.consultant.ru/link/?req=doc&amp;base=LAW&amp;n=495920&amp;dst=103920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подклассы 49.1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26" w:tooltip="https://login.consultant.ru/link/?req=doc&amp;base=LAW&amp;n=495920&amp;dst=103990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49.4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27" w:tooltip="https://login.consultant.ru/link/?req=doc&amp;base=LAW&amp;n=495920&amp;dst=104020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классы 50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28" w:tooltip="https://login.consultant.ru/link/?req=doc&amp;base=LAW&amp;n=495920&amp;dst=104265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53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11) деятельность в области информации и связи (</w:t>
      </w:r>
      <w:hyperlink r:id="rId29" w:tooltip="https://login.consultant.ru/link/?req=doc&amp;base=LAW&amp;n=495920&amp;dst=104368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классы 58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- </w:t>
      </w:r>
      <w:hyperlink r:id="rId30" w:tooltip="https://login.consultant.ru/link/?req=doc&amp;base=LAW&amp;n=495920&amp;dst=104526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63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2.2. Инвестиционный налоговый вычет устанавливается в размере</w:t>
        <w:br/>
        <w:t xml:space="preserve">90 процентов суммы расходов, составляющей первоначальную стоимость основного средства в соответствии с </w:t>
      </w:r>
      <w:hyperlink r:id="rId31" w:tooltip="https://login.consultant.ru/link/?req=doc&amp;base=LAW&amp;n=494979&amp;dst=24147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абзацем вторым пункта 1 статьи 257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Налогового кодекса Российской Федерации, и (или) суммы расходов, составляющей величину изменения первоначальной стоимости основного средства в случаях, указанных в </w:t>
      </w:r>
      <w:hyperlink r:id="rId32" w:tooltip="https://login.consultant.ru/link/?req=doc&amp;base=LAW&amp;n=494979&amp;dst=24148&amp;field=134&amp;date=15.02.20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2 статьи 257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Налогового кодекса Российской Федерации (за исключением частичной ликвидации основного средства), для организаций или обособленных подразделений организаций, расположенных на территории Ханты-Мансийского автономного округа - Югры, являющихся владельцами 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ицензий на пользование участками недр на территории автономного округа, содержащими месторождения углеводородного сырья, и осуществляющих капитальные вложения в объекты основных средств или капитальные вложения в объекты основных средств и расходы на прове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дение геологоразведочных работ на территории автономного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 xml:space="preserve">Инвестиционный налоговый вычет применяется при выполнении одного из следующих условий: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объем инвестиций в основной капитал (основные средства) или объем инвестиций в основной капитал (основные средства) и расходов на проведение геологоразведочных работ на территории автономного округа в предыдущем налоговом периоде превысил одну треть объема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инвестиций в основной капитал (основные средства) и расходов на проведение геологоразведочных работ (при наличии расходов на проведение геологоразведочных работ) на территории автономного округа за два налоговых периода, предшествовавших предыдущему налог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овому периоду;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сумма средств, высвобожденных в результате применения инвестиционного налогового вычета, не превысила 15 процентов объема инвестиций в основной капитал (основные средства) и расходов на проведение геологоразведочных работ (при наличии расходов на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е геологоразведочных работ) на территории автономного округа за отчетный (налоговый) период.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spacing w:after="0" w:line="276" w:lineRule="auto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u w:val="none"/>
        </w:rPr>
        <w:t xml:space="preserve">3. Ранее: по налогу на прибыль организаций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(Закон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от 30.09.2011 № 87-оз «О налоге на прибыль организаций, подлежащем зачислению в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 Ханты-Мансийского автономного округа – Югры» (пункт 2 статьи 2) предусмотрено примен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пониженной на 4 процентных пункта налоговой ставки организациями, реализующими проекты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сферах обрабатывающего производства,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перевозки пассажиров сухопутным, водным, воздушным транспортом,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сбора, обработки и утилизации отходов,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услуг в области добычи нефти</w:t>
        <w:br/>
        <w:t xml:space="preserve">и природного газа,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концессионных соглашений, соглашений о ГЧП, МЧП.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none"/>
        </w:rPr>
        <w:t xml:space="preserve">С 01.01.2025 вышеуказанный закон утратил силу в связи с принятием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Закона Ханты-Мансийского автономного округа – Югры от 28.11.2024 № 84-оз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«О налоге на прибыль организаций, подлежащем зачислению в бюджет Ханты-Мансийского автономного округа – Югры»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i/>
          <w:iCs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/>
          <w:color w:val="000000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bCs/>
          <w:color w:val="000000"/>
          <w:highlight w:val="non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b/>
          <w:bCs/>
          <w:i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i/>
          <w:color w:val="000000" w:themeColor="text1"/>
          <w:highlight w:val="none"/>
          <w:u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</w:rPr>
        <w:t xml:space="preserve">1</w:t>
      </w:r>
    </w:fldSimple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  <w:p>
    <w:pPr>
      <w:pStyle w:val="71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0"/>
    <w:next w:val="86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60"/>
    <w:next w:val="860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60"/>
    <w:next w:val="860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0"/>
    <w:next w:val="860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6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List Paragraph"/>
    <w:basedOn w:val="860"/>
    <w:uiPriority w:val="34"/>
    <w:qFormat/>
    <w:pPr>
      <w:contextualSpacing/>
      <w:ind w:left="720"/>
    </w:pPr>
  </w:style>
  <w:style w:type="character" w:styleId="865">
    <w:name w:val="Hyperlink"/>
    <w:basedOn w:val="861"/>
    <w:uiPriority w:val="99"/>
    <w:unhideWhenUsed/>
    <w:rPr>
      <w:color w:val="0563c1" w:themeColor="hyperlink"/>
      <w:u w:val="single"/>
    </w:rPr>
  </w:style>
  <w:style w:type="paragraph" w:styleId="866">
    <w:name w:val="Balloon Text"/>
    <w:basedOn w:val="860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61"/>
    <w:link w:val="86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login.consultant.ru/link/?req=doc&amp;base=LAW&amp;n=495920&amp;dst=100395&amp;field=134&amp;date=15.02.2025" TargetMode="External"/><Relationship Id="rId13" Type="http://schemas.openxmlformats.org/officeDocument/2006/relationships/hyperlink" Target="https://login.consultant.ru/link/?req=doc&amp;base=LAW&amp;n=495920&amp;dst=100438&amp;field=134&amp;date=15.02.2025" TargetMode="External"/><Relationship Id="rId14" Type="http://schemas.openxmlformats.org/officeDocument/2006/relationships/hyperlink" Target="https://login.consultant.ru/link/?req=doc&amp;base=LAW&amp;n=495920&amp;dst=100714&amp;field=134&amp;date=15.02.2025" TargetMode="External"/><Relationship Id="rId15" Type="http://schemas.openxmlformats.org/officeDocument/2006/relationships/hyperlink" Target="https://login.consultant.ru/link/?req=doc&amp;base=LAW&amp;n=495920&amp;dst=101418&amp;field=134&amp;date=15.02.2025" TargetMode="External"/><Relationship Id="rId16" Type="http://schemas.openxmlformats.org/officeDocument/2006/relationships/hyperlink" Target="https://login.consultant.ru/link/?req=doc&amp;base=LAW&amp;n=495920&amp;dst=101438&amp;field=134&amp;date=15.02.2025" TargetMode="External"/><Relationship Id="rId17" Type="http://schemas.openxmlformats.org/officeDocument/2006/relationships/hyperlink" Target="https://login.consultant.ru/link/?req=doc&amp;base=LAW&amp;n=495920&amp;dst=101446&amp;field=134&amp;date=15.02.2025" TargetMode="External"/><Relationship Id="rId18" Type="http://schemas.openxmlformats.org/officeDocument/2006/relationships/hyperlink" Target="https://login.consultant.ru/link/?req=doc&amp;base=LAW&amp;n=495920&amp;dst=101462&amp;field=134&amp;date=15.02.2025" TargetMode="External"/><Relationship Id="rId19" Type="http://schemas.openxmlformats.org/officeDocument/2006/relationships/hyperlink" Target="https://login.consultant.ru/link/?req=doc&amp;base=LAW&amp;n=495920&amp;dst=102683&amp;field=134&amp;date=15.02.2025" TargetMode="External"/><Relationship Id="rId20" Type="http://schemas.openxmlformats.org/officeDocument/2006/relationships/hyperlink" Target="https://login.consultant.ru/link/?req=doc&amp;base=LAW&amp;n=495920&amp;dst=102812&amp;field=134&amp;date=15.02.2025" TargetMode="External"/><Relationship Id="rId21" Type="http://schemas.openxmlformats.org/officeDocument/2006/relationships/hyperlink" Target="https://login.consultant.ru/link/?req=doc&amp;base=LAW&amp;n=495920&amp;dst=102823&amp;field=134&amp;date=15.02.2025" TargetMode="External"/><Relationship Id="rId22" Type="http://schemas.openxmlformats.org/officeDocument/2006/relationships/hyperlink" Target="https://login.consultant.ru/link/?req=doc&amp;base=LAW&amp;n=495920&amp;dst=102830&amp;field=134&amp;date=15.02.2025" TargetMode="External"/><Relationship Id="rId23" Type="http://schemas.openxmlformats.org/officeDocument/2006/relationships/hyperlink" Target="https://login.consultant.ru/link/?req=doc&amp;base=LAW&amp;n=495920&amp;dst=102885&amp;field=134&amp;date=15.02.2025" TargetMode="External"/><Relationship Id="rId24" Type="http://schemas.openxmlformats.org/officeDocument/2006/relationships/hyperlink" Target="https://login.consultant.ru/link/?req=doc&amp;base=LAW&amp;n=495920&amp;dst=106031&amp;field=134&amp;date=15.02.2025" TargetMode="External"/><Relationship Id="rId25" Type="http://schemas.openxmlformats.org/officeDocument/2006/relationships/hyperlink" Target="https://login.consultant.ru/link/?req=doc&amp;base=LAW&amp;n=495920&amp;dst=103920&amp;field=134&amp;date=15.02.2025" TargetMode="External"/><Relationship Id="rId26" Type="http://schemas.openxmlformats.org/officeDocument/2006/relationships/hyperlink" Target="https://login.consultant.ru/link/?req=doc&amp;base=LAW&amp;n=495920&amp;dst=103990&amp;field=134&amp;date=15.02.2025" TargetMode="External"/><Relationship Id="rId27" Type="http://schemas.openxmlformats.org/officeDocument/2006/relationships/hyperlink" Target="https://login.consultant.ru/link/?req=doc&amp;base=LAW&amp;n=495920&amp;dst=104020&amp;field=134&amp;date=15.02.2025" TargetMode="External"/><Relationship Id="rId28" Type="http://schemas.openxmlformats.org/officeDocument/2006/relationships/hyperlink" Target="https://login.consultant.ru/link/?req=doc&amp;base=LAW&amp;n=495920&amp;dst=104265&amp;field=134&amp;date=15.02.2025" TargetMode="External"/><Relationship Id="rId29" Type="http://schemas.openxmlformats.org/officeDocument/2006/relationships/hyperlink" Target="https://login.consultant.ru/link/?req=doc&amp;base=LAW&amp;n=495920&amp;dst=104368&amp;field=134&amp;date=15.02.2025" TargetMode="External"/><Relationship Id="rId30" Type="http://schemas.openxmlformats.org/officeDocument/2006/relationships/hyperlink" Target="https://login.consultant.ru/link/?req=doc&amp;base=LAW&amp;n=495920&amp;dst=104526&amp;field=134&amp;date=15.02.2025" TargetMode="External"/><Relationship Id="rId31" Type="http://schemas.openxmlformats.org/officeDocument/2006/relationships/hyperlink" Target="https://login.consultant.ru/link/?req=doc&amp;base=LAW&amp;n=494979&amp;dst=24147&amp;field=134&amp;date=15.02.2025" TargetMode="External"/><Relationship Id="rId32" Type="http://schemas.openxmlformats.org/officeDocument/2006/relationships/hyperlink" Target="https://login.consultant.ru/link/?req=doc&amp;base=LAW&amp;n=494979&amp;dst=24148&amp;field=134&amp;date=15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Ольга Витальевна</dc:creator>
  <cp:keywords/>
  <dc:description/>
  <cp:revision>12</cp:revision>
  <dcterms:created xsi:type="dcterms:W3CDTF">2022-02-14T16:34:00Z</dcterms:created>
  <dcterms:modified xsi:type="dcterms:W3CDTF">2025-02-15T12:26:22Z</dcterms:modified>
</cp:coreProperties>
</file>